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7F" w:rsidRDefault="0031727F" w:rsidP="0031727F">
      <w:pPr>
        <w:pStyle w:val="SectionNUM"/>
        <w:numPr>
          <w:ilvl w:val="0"/>
          <w:numId w:val="0"/>
        </w:numPr>
        <w:ind w:left="340"/>
        <w:jc w:val="both"/>
      </w:pPr>
      <w:bookmarkStart w:id="0" w:name="_Toc109531464"/>
      <w:r>
        <w:t>Monitoring and evaluation</w:t>
      </w:r>
      <w:bookmarkEnd w:id="0"/>
    </w:p>
    <w:p w:rsidR="0031727F" w:rsidRDefault="0031727F" w:rsidP="0031727F">
      <w:pPr>
        <w:pStyle w:val="BodyText"/>
      </w:pPr>
      <w:fldSimple w:instr=" REF _Ref104649171 \r  \* MERGEFORMAT ">
        <w:r>
          <w:t>Table 5.1</w:t>
        </w:r>
      </w:fldSimple>
      <w:r>
        <w:t xml:space="preserve"> presents progress relative to the NSSED objectives. It is clear that Albania has achieved all its growth targets for 2006 two years earlier. The achievement of the per capita income target has been accelerated by the devaluation of the dollar but the country’s growth rate performance has been according to plan.</w:t>
      </w:r>
    </w:p>
    <w:p w:rsidR="0031727F" w:rsidRDefault="0031727F" w:rsidP="0031727F">
      <w:pPr>
        <w:pStyle w:val="BodyText"/>
      </w:pPr>
      <w:r>
        <w:t xml:space="preserve">Poverty indicators cannot be monitored on an annual basis given the country’s resources. Instead, the poverty monitoring plan envisaged that the 2002 LSMS would have a consumption module to allow the calculation of poverty rates but that the 2003 and 2004 waves of the LSMS would not include consumption questions. Instead, analyses of the type presented in Section </w:t>
      </w:r>
      <w:fldSimple w:instr=" REF _Ref104729840 \r \h  \* MERGEFORMAT ">
        <w:r>
          <w:t>3.1</w:t>
        </w:r>
      </w:fldSimple>
      <w:r>
        <w:t xml:space="preserve"> would be performed. Indeed, the findings suggested that there is sufficient evidence to assume that progress is made with poverty reduction, as one would expect given the recent growth performance. The 2005 LSMS will include a consumption module that will allow a new round of estimates on poverty, which are likely to be presented in next year’s Progress Report.</w:t>
      </w:r>
    </w:p>
    <w:p w:rsidR="0031727F" w:rsidRDefault="0031727F" w:rsidP="0031727F">
      <w:pPr>
        <w:pStyle w:val="BodyText"/>
      </w:pPr>
      <w:r>
        <w:t xml:space="preserve">The estimation of the level of the unemployment rate is fraught with difficulties. On the one hand, there are problems related to the large proportion of the labour force employed in the informal sector, the agricultural sector and in seasonal jobs abroad. In addition, there is no Labour Force Survey, which is the usual instrument to measure unemployment. Therefore the existing sources are not ideally suited for unemployment purposes and this explains why there are discrepancies in their estimates. Section </w:t>
      </w:r>
      <w:fldSimple w:instr=" REF _Ref104730644 \r  \* MERGEFORMAT ">
        <w:r>
          <w:t>3.4</w:t>
        </w:r>
      </w:fldSimple>
      <w:r>
        <w:t xml:space="preserve"> discussed the differences between the Census and the LSMS and urged caution at the low levels suggested by the LSMS. However, it is clear that the labour market conditions are improving and this is also confirmed by the official unemployment rate, which is based on the administrative records of the Labour Offices of the Ministry of Labour and Social Affairs. According to this definition, the unemployment rate has fallen to 14.4% in 2003. </w:t>
      </w:r>
    </w:p>
    <w:p w:rsidR="0031727F" w:rsidRDefault="0031727F" w:rsidP="0031727F">
      <w:pPr>
        <w:pStyle w:val="BodyText"/>
      </w:pPr>
      <w:r>
        <w:t>The health indicators are based on administrative data. Measures of infant, child and maternal mortality are based on the records kept at Ministry of Health institutions. This means that they would not cover incidents that do not take place in a maternity house or a health centre. These indicators are very difficult to estimate and can be very sensitive especially in small populations like Albania with low incidence. For example, the maternal mortality rate for 2004 corresponds to 3 deaths during the year. Figures from WHO Europe for all three measures are lower. For example, the infant mortality rate per 1000 live births for 2003 is reported 8.4, while the figure of the Ministry of Health figure is 17.3. This might have to do with the assumptions for a standard population that are used by WHO to calculate the rates. Although there is no denying that all three measures have been declining in recent years, the methods of measurement need to be reviewed to ensure that the living conditions of remote and marginalised populations are accurately monitored.</w:t>
      </w:r>
    </w:p>
    <w:p w:rsidR="0031727F" w:rsidRDefault="0031727F" w:rsidP="0031727F">
      <w:pPr>
        <w:pStyle w:val="BodyText"/>
      </w:pPr>
      <w:r>
        <w:t>The education indicators are also based on administrative data with the exception of the literacy figures that were derived from the Census and for this reason these have not been updated. There has been progress in the net secondary education enrolment rate that has already exceeded the target. However, the share of vocational education enrolments in secondary education has remained constant.</w:t>
      </w:r>
    </w:p>
    <w:p w:rsidR="0031727F" w:rsidRDefault="0031727F" w:rsidP="0031727F">
      <w:pPr>
        <w:pStyle w:val="BodyText"/>
      </w:pPr>
      <w:r>
        <w:t xml:space="preserve">Albania has also subscribed to the set of World Bank governance indicators, which are published every two years and were last published in May 2005. Some of the particular characteristics of these indicators need to be mentioned. First, the indicators measure the relative position of Albania and do not necessarily measure progress towards a desired standard. For example, the value of the measure on voice and accountability (48.1 in </w:t>
      </w:r>
      <w:r>
        <w:lastRenderedPageBreak/>
        <w:t>2004) means that of 209 countries, 48% of these countries were rated below Albania and 52% were rated above. Second, it needs to be stressed that unlike other indicators reported in this chapter, the governance indicators are subjective. In other words, they are based on expert or informed opinions, perceptions and surveyed views. As a result, they can be legitimately criticised as vulnerable to bias in terms of the sources of these opinions. Third, they appear to be collected with significant time lags. For example, the data appear to suggest that Albania has regressed in terms of political stability between 2002 and 2004 when in fact the opposite appears to have happened. However, the government has set as priority the improvement of governance performance and recognises that the World Bank governance indicators are generally accepted internationally. Modest progress appears to have been achieved between 2002 and 2004, which is perhaps even more important considering the relative nature of the ranking.</w:t>
      </w:r>
    </w:p>
    <w:p w:rsidR="0031727F" w:rsidRDefault="0031727F" w:rsidP="0031727F">
      <w:pPr>
        <w:pStyle w:val="Table"/>
        <w:numPr>
          <w:ilvl w:val="4"/>
          <w:numId w:val="0"/>
        </w:numPr>
        <w:tabs>
          <w:tab w:val="num" w:pos="1008"/>
        </w:tabs>
        <w:ind w:left="1008" w:hanging="1008"/>
        <w:jc w:val="both"/>
      </w:pPr>
      <w:bookmarkStart w:id="1" w:name="_Ref104649171"/>
      <w:bookmarkStart w:id="2" w:name="_Toc109495252"/>
      <w:r>
        <w:t>Main NSSED objectives</w:t>
      </w:r>
      <w:bookmarkEnd w:id="1"/>
      <w:bookmarkEnd w:id="2"/>
    </w:p>
    <w:tbl>
      <w:tblPr>
        <w:tblW w:w="9639" w:type="dxa"/>
        <w:jc w:val="center"/>
        <w:tblBorders>
          <w:top w:val="single" w:sz="12" w:space="0" w:color="000000"/>
          <w:bottom w:val="single" w:sz="12" w:space="0" w:color="000000"/>
        </w:tblBorders>
        <w:tblLook w:val="01E0"/>
      </w:tblPr>
      <w:tblGrid>
        <w:gridCol w:w="4048"/>
        <w:gridCol w:w="885"/>
        <w:gridCol w:w="885"/>
        <w:gridCol w:w="885"/>
        <w:gridCol w:w="885"/>
        <w:gridCol w:w="393"/>
        <w:gridCol w:w="885"/>
        <w:gridCol w:w="773"/>
      </w:tblGrid>
      <w:tr w:rsidR="0031727F" w:rsidTr="00E964F6">
        <w:trPr>
          <w:jc w:val="center"/>
        </w:trPr>
        <w:tc>
          <w:tcPr>
            <w:tcW w:w="2100" w:type="pct"/>
            <w:tcBorders>
              <w:top w:val="single" w:sz="12" w:space="0" w:color="000000"/>
              <w:bottom w:val="nil"/>
            </w:tcBorders>
          </w:tcPr>
          <w:p w:rsidR="0031727F" w:rsidRDefault="0031727F" w:rsidP="00E964F6">
            <w:pPr>
              <w:pStyle w:val="TableText"/>
            </w:pPr>
            <w:r>
              <w:t>Objective (unit) [MDG target if relevant]</w:t>
            </w:r>
          </w:p>
        </w:tc>
        <w:tc>
          <w:tcPr>
            <w:tcW w:w="1836" w:type="pct"/>
            <w:gridSpan w:val="4"/>
            <w:tcBorders>
              <w:top w:val="single" w:sz="12" w:space="0" w:color="000000"/>
              <w:bottom w:val="nil"/>
            </w:tcBorders>
          </w:tcPr>
          <w:p w:rsidR="0031727F" w:rsidRDefault="0031727F" w:rsidP="00E964F6">
            <w:pPr>
              <w:pStyle w:val="TableText"/>
            </w:pPr>
            <w:r>
              <w:t>Actual</w:t>
            </w:r>
          </w:p>
        </w:tc>
        <w:tc>
          <w:tcPr>
            <w:tcW w:w="204" w:type="pct"/>
            <w:tcBorders>
              <w:top w:val="single" w:sz="12" w:space="0" w:color="000000"/>
              <w:bottom w:val="nil"/>
            </w:tcBorders>
          </w:tcPr>
          <w:p w:rsidR="0031727F" w:rsidRDefault="0031727F" w:rsidP="00E964F6">
            <w:pPr>
              <w:pStyle w:val="TableText"/>
            </w:pPr>
          </w:p>
        </w:tc>
        <w:tc>
          <w:tcPr>
            <w:tcW w:w="918" w:type="pct"/>
            <w:gridSpan w:val="2"/>
            <w:tcBorders>
              <w:top w:val="single" w:sz="12" w:space="0" w:color="000000"/>
              <w:bottom w:val="nil"/>
            </w:tcBorders>
          </w:tcPr>
          <w:p w:rsidR="0031727F" w:rsidRDefault="0031727F" w:rsidP="00E964F6">
            <w:pPr>
              <w:pStyle w:val="TableText"/>
            </w:pPr>
            <w:r>
              <w:t>Target</w:t>
            </w:r>
          </w:p>
        </w:tc>
      </w:tr>
      <w:tr w:rsidR="0031727F" w:rsidTr="00E964F6">
        <w:trPr>
          <w:jc w:val="center"/>
        </w:trPr>
        <w:tc>
          <w:tcPr>
            <w:tcW w:w="2100" w:type="pct"/>
            <w:tcBorders>
              <w:top w:val="nil"/>
              <w:bottom w:val="single" w:sz="12" w:space="0" w:color="000000"/>
            </w:tcBorders>
          </w:tcPr>
          <w:p w:rsidR="0031727F" w:rsidRDefault="0031727F" w:rsidP="00E964F6">
            <w:pPr>
              <w:pStyle w:val="TableText"/>
            </w:pPr>
          </w:p>
        </w:tc>
        <w:tc>
          <w:tcPr>
            <w:tcW w:w="459" w:type="pct"/>
            <w:tcBorders>
              <w:top w:val="nil"/>
              <w:bottom w:val="single" w:sz="12" w:space="0" w:color="000000"/>
            </w:tcBorders>
          </w:tcPr>
          <w:p w:rsidR="0031727F" w:rsidRDefault="0031727F" w:rsidP="00E964F6">
            <w:pPr>
              <w:pStyle w:val="TableText"/>
            </w:pPr>
            <w:r>
              <w:t>2001</w:t>
            </w:r>
          </w:p>
        </w:tc>
        <w:tc>
          <w:tcPr>
            <w:tcW w:w="459" w:type="pct"/>
            <w:tcBorders>
              <w:top w:val="nil"/>
              <w:bottom w:val="single" w:sz="12" w:space="0" w:color="000000"/>
            </w:tcBorders>
          </w:tcPr>
          <w:p w:rsidR="0031727F" w:rsidRDefault="0031727F" w:rsidP="00E964F6">
            <w:pPr>
              <w:pStyle w:val="TableText"/>
            </w:pPr>
            <w:r>
              <w:t>2002</w:t>
            </w:r>
          </w:p>
        </w:tc>
        <w:tc>
          <w:tcPr>
            <w:tcW w:w="459" w:type="pct"/>
            <w:tcBorders>
              <w:top w:val="nil"/>
              <w:bottom w:val="single" w:sz="12" w:space="0" w:color="000000"/>
            </w:tcBorders>
          </w:tcPr>
          <w:p w:rsidR="0031727F" w:rsidRDefault="0031727F" w:rsidP="00E964F6">
            <w:pPr>
              <w:pStyle w:val="TableText"/>
            </w:pPr>
            <w:r>
              <w:t>2003</w:t>
            </w:r>
          </w:p>
        </w:tc>
        <w:tc>
          <w:tcPr>
            <w:tcW w:w="459" w:type="pct"/>
            <w:tcBorders>
              <w:top w:val="nil"/>
              <w:bottom w:val="single" w:sz="12" w:space="0" w:color="000000"/>
            </w:tcBorders>
          </w:tcPr>
          <w:p w:rsidR="0031727F" w:rsidRDefault="0031727F" w:rsidP="00E964F6">
            <w:pPr>
              <w:pStyle w:val="TableText"/>
            </w:pPr>
            <w:r>
              <w:t>2004</w:t>
            </w:r>
          </w:p>
        </w:tc>
        <w:tc>
          <w:tcPr>
            <w:tcW w:w="204" w:type="pct"/>
            <w:tcBorders>
              <w:top w:val="nil"/>
              <w:bottom w:val="single" w:sz="12" w:space="0" w:color="000000"/>
            </w:tcBorders>
          </w:tcPr>
          <w:p w:rsidR="0031727F" w:rsidRDefault="0031727F" w:rsidP="00E964F6">
            <w:pPr>
              <w:pStyle w:val="TableText"/>
            </w:pPr>
          </w:p>
        </w:tc>
        <w:tc>
          <w:tcPr>
            <w:tcW w:w="459" w:type="pct"/>
            <w:tcBorders>
              <w:top w:val="nil"/>
              <w:bottom w:val="single" w:sz="12" w:space="0" w:color="000000"/>
            </w:tcBorders>
          </w:tcPr>
          <w:p w:rsidR="0031727F" w:rsidRDefault="0031727F" w:rsidP="00E964F6">
            <w:pPr>
              <w:pStyle w:val="TableText"/>
            </w:pPr>
            <w:r>
              <w:t>2006</w:t>
            </w:r>
          </w:p>
        </w:tc>
        <w:tc>
          <w:tcPr>
            <w:tcW w:w="459" w:type="pct"/>
            <w:tcBorders>
              <w:top w:val="nil"/>
              <w:bottom w:val="single" w:sz="12" w:space="0" w:color="000000"/>
            </w:tcBorders>
          </w:tcPr>
          <w:p w:rsidR="0031727F" w:rsidRDefault="0031727F" w:rsidP="00E964F6">
            <w:pPr>
              <w:pStyle w:val="TableText"/>
            </w:pPr>
            <w:r>
              <w:t>2015</w:t>
            </w:r>
          </w:p>
        </w:tc>
      </w:tr>
      <w:tr w:rsidR="0031727F" w:rsidTr="00E964F6">
        <w:trPr>
          <w:jc w:val="center"/>
        </w:trPr>
        <w:tc>
          <w:tcPr>
            <w:tcW w:w="2100" w:type="pct"/>
            <w:tcBorders>
              <w:top w:val="single" w:sz="12" w:space="0" w:color="000000"/>
            </w:tcBorders>
          </w:tcPr>
          <w:p w:rsidR="0031727F" w:rsidRDefault="0031727F" w:rsidP="00E964F6">
            <w:pPr>
              <w:pStyle w:val="TableText"/>
            </w:pPr>
            <w:r>
              <w:t>Growth</w:t>
            </w:r>
          </w:p>
        </w:tc>
        <w:tc>
          <w:tcPr>
            <w:tcW w:w="459" w:type="pct"/>
            <w:tcBorders>
              <w:top w:val="single" w:sz="12" w:space="0" w:color="000000"/>
            </w:tcBorders>
            <w:vAlign w:val="center"/>
          </w:tcPr>
          <w:p w:rsidR="0031727F" w:rsidRDefault="0031727F" w:rsidP="00E964F6">
            <w:pPr>
              <w:pStyle w:val="TableText"/>
            </w:pPr>
          </w:p>
        </w:tc>
        <w:tc>
          <w:tcPr>
            <w:tcW w:w="459" w:type="pct"/>
            <w:tcBorders>
              <w:top w:val="single" w:sz="12" w:space="0" w:color="000000"/>
            </w:tcBorders>
            <w:vAlign w:val="center"/>
          </w:tcPr>
          <w:p w:rsidR="0031727F" w:rsidRDefault="0031727F" w:rsidP="00E964F6">
            <w:pPr>
              <w:pStyle w:val="TableText"/>
            </w:pPr>
          </w:p>
        </w:tc>
        <w:tc>
          <w:tcPr>
            <w:tcW w:w="459" w:type="pct"/>
            <w:tcBorders>
              <w:top w:val="single" w:sz="12" w:space="0" w:color="000000"/>
            </w:tcBorders>
            <w:vAlign w:val="center"/>
          </w:tcPr>
          <w:p w:rsidR="0031727F" w:rsidRDefault="0031727F" w:rsidP="00E964F6">
            <w:pPr>
              <w:pStyle w:val="TableText"/>
            </w:pPr>
          </w:p>
        </w:tc>
        <w:tc>
          <w:tcPr>
            <w:tcW w:w="459" w:type="pct"/>
            <w:tcBorders>
              <w:top w:val="single" w:sz="12" w:space="0" w:color="000000"/>
            </w:tcBorders>
            <w:vAlign w:val="center"/>
          </w:tcPr>
          <w:p w:rsidR="0031727F" w:rsidRDefault="0031727F" w:rsidP="00E964F6">
            <w:pPr>
              <w:pStyle w:val="TableText"/>
            </w:pPr>
          </w:p>
        </w:tc>
        <w:tc>
          <w:tcPr>
            <w:tcW w:w="204" w:type="pct"/>
            <w:tcBorders>
              <w:top w:val="single" w:sz="12" w:space="0" w:color="000000"/>
            </w:tcBorders>
            <w:vAlign w:val="center"/>
          </w:tcPr>
          <w:p w:rsidR="0031727F" w:rsidRDefault="0031727F" w:rsidP="00E964F6">
            <w:pPr>
              <w:pStyle w:val="TableText"/>
            </w:pPr>
          </w:p>
        </w:tc>
        <w:tc>
          <w:tcPr>
            <w:tcW w:w="459" w:type="pct"/>
            <w:tcBorders>
              <w:top w:val="single" w:sz="12" w:space="0" w:color="000000"/>
            </w:tcBorders>
            <w:vAlign w:val="center"/>
          </w:tcPr>
          <w:p w:rsidR="0031727F" w:rsidRDefault="0031727F" w:rsidP="00E964F6">
            <w:pPr>
              <w:pStyle w:val="TableText"/>
            </w:pPr>
          </w:p>
        </w:tc>
        <w:tc>
          <w:tcPr>
            <w:tcW w:w="459" w:type="pct"/>
            <w:tcBorders>
              <w:top w:val="single" w:sz="12" w:space="0" w:color="000000"/>
            </w:tcBorders>
            <w:vAlign w:val="center"/>
          </w:tcPr>
          <w:p w:rsidR="0031727F" w:rsidRDefault="0031727F" w:rsidP="00E964F6">
            <w:pPr>
              <w:pStyle w:val="TableText"/>
            </w:pPr>
          </w:p>
        </w:tc>
      </w:tr>
      <w:tr w:rsidR="0031727F" w:rsidTr="00E964F6">
        <w:trPr>
          <w:jc w:val="center"/>
        </w:trPr>
        <w:tc>
          <w:tcPr>
            <w:tcW w:w="2100" w:type="pct"/>
          </w:tcPr>
          <w:p w:rsidR="0031727F" w:rsidRDefault="0031727F" w:rsidP="00E964F6">
            <w:pPr>
              <w:pStyle w:val="TableText"/>
            </w:pPr>
            <w:r>
              <w:t>GDP per capita ($)</w:t>
            </w:r>
          </w:p>
        </w:tc>
        <w:tc>
          <w:tcPr>
            <w:tcW w:w="459" w:type="pct"/>
            <w:vAlign w:val="center"/>
          </w:tcPr>
          <w:p w:rsidR="0031727F" w:rsidRDefault="0031727F" w:rsidP="00E964F6">
            <w:pPr>
              <w:pStyle w:val="TableText"/>
            </w:pPr>
            <w:r>
              <w:t>1386</w:t>
            </w:r>
          </w:p>
        </w:tc>
        <w:tc>
          <w:tcPr>
            <w:tcW w:w="459" w:type="pct"/>
            <w:vAlign w:val="center"/>
          </w:tcPr>
          <w:p w:rsidR="0031727F" w:rsidRDefault="0031727F" w:rsidP="00E964F6">
            <w:pPr>
              <w:pStyle w:val="TableText"/>
            </w:pPr>
            <w:r>
              <w:t>1557</w:t>
            </w:r>
          </w:p>
        </w:tc>
        <w:tc>
          <w:tcPr>
            <w:tcW w:w="459" w:type="pct"/>
            <w:vAlign w:val="center"/>
          </w:tcPr>
          <w:p w:rsidR="0031727F" w:rsidRDefault="0031727F" w:rsidP="00E964F6">
            <w:pPr>
              <w:pStyle w:val="TableText"/>
            </w:pPr>
            <w:r>
              <w:t>1950</w:t>
            </w:r>
          </w:p>
        </w:tc>
        <w:tc>
          <w:tcPr>
            <w:tcW w:w="459" w:type="pct"/>
            <w:vAlign w:val="center"/>
          </w:tcPr>
          <w:p w:rsidR="0031727F" w:rsidRDefault="0031727F" w:rsidP="00E964F6">
            <w:pPr>
              <w:pStyle w:val="TableText"/>
            </w:pPr>
            <w:r>
              <w:t>2604</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r>
              <w:t>2660</w:t>
            </w:r>
          </w:p>
        </w:tc>
        <w:tc>
          <w:tcPr>
            <w:tcW w:w="459" w:type="pct"/>
            <w:vAlign w:val="center"/>
          </w:tcPr>
          <w:p w:rsidR="0031727F" w:rsidRDefault="0031727F" w:rsidP="00E964F6">
            <w:pPr>
              <w:pStyle w:val="TableText"/>
            </w:pPr>
          </w:p>
        </w:tc>
      </w:tr>
      <w:tr w:rsidR="0031727F" w:rsidTr="00E964F6">
        <w:trPr>
          <w:jc w:val="center"/>
        </w:trPr>
        <w:tc>
          <w:tcPr>
            <w:tcW w:w="2100" w:type="pct"/>
          </w:tcPr>
          <w:p w:rsidR="0031727F" w:rsidRDefault="0031727F" w:rsidP="00E964F6">
            <w:pPr>
              <w:pStyle w:val="TableText"/>
            </w:pPr>
            <w:r>
              <w:t>GDP growth rate (%)</w:t>
            </w:r>
          </w:p>
        </w:tc>
        <w:tc>
          <w:tcPr>
            <w:tcW w:w="459" w:type="pct"/>
            <w:vAlign w:val="center"/>
          </w:tcPr>
          <w:p w:rsidR="0031727F" w:rsidRDefault="0031727F" w:rsidP="00E964F6">
            <w:pPr>
              <w:pStyle w:val="TableText"/>
            </w:pPr>
            <w:r>
              <w:t>7.6</w:t>
            </w:r>
          </w:p>
        </w:tc>
        <w:tc>
          <w:tcPr>
            <w:tcW w:w="459" w:type="pct"/>
            <w:vAlign w:val="center"/>
          </w:tcPr>
          <w:p w:rsidR="0031727F" w:rsidRDefault="0031727F" w:rsidP="00E964F6">
            <w:pPr>
              <w:pStyle w:val="TableText"/>
            </w:pPr>
            <w:r>
              <w:t>4.7</w:t>
            </w:r>
          </w:p>
        </w:tc>
        <w:tc>
          <w:tcPr>
            <w:tcW w:w="459" w:type="pct"/>
            <w:vAlign w:val="center"/>
          </w:tcPr>
          <w:p w:rsidR="0031727F" w:rsidRDefault="0031727F" w:rsidP="00E964F6">
            <w:pPr>
              <w:pStyle w:val="TableText"/>
            </w:pPr>
            <w:r>
              <w:t>6.0</w:t>
            </w:r>
          </w:p>
        </w:tc>
        <w:tc>
          <w:tcPr>
            <w:tcW w:w="459" w:type="pct"/>
            <w:vAlign w:val="center"/>
          </w:tcPr>
          <w:p w:rsidR="0031727F" w:rsidRDefault="0031727F" w:rsidP="00E964F6">
            <w:pPr>
              <w:pStyle w:val="TableText"/>
            </w:pPr>
            <w:r>
              <w:t>6.0</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r>
              <w:t>6.0</w:t>
            </w:r>
          </w:p>
        </w:tc>
        <w:tc>
          <w:tcPr>
            <w:tcW w:w="459" w:type="pct"/>
            <w:vAlign w:val="center"/>
          </w:tcPr>
          <w:p w:rsidR="0031727F" w:rsidRDefault="0031727F" w:rsidP="00E964F6">
            <w:pPr>
              <w:pStyle w:val="TableText"/>
            </w:pPr>
          </w:p>
        </w:tc>
      </w:tr>
      <w:tr w:rsidR="0031727F" w:rsidTr="00E964F6">
        <w:trPr>
          <w:jc w:val="center"/>
        </w:trPr>
        <w:tc>
          <w:tcPr>
            <w:tcW w:w="2100" w:type="pct"/>
          </w:tcPr>
          <w:p w:rsidR="0031727F" w:rsidRDefault="0031727F" w:rsidP="00E964F6">
            <w:pPr>
              <w:pStyle w:val="TableText"/>
            </w:pPr>
            <w:r>
              <w:t>Budget deficit as proportion of GDP (%)</w:t>
            </w:r>
          </w:p>
        </w:tc>
        <w:tc>
          <w:tcPr>
            <w:tcW w:w="459" w:type="pct"/>
            <w:vAlign w:val="center"/>
          </w:tcPr>
          <w:p w:rsidR="0031727F" w:rsidRDefault="0031727F" w:rsidP="00E964F6">
            <w:pPr>
              <w:pStyle w:val="TableText"/>
            </w:pPr>
            <w:r>
              <w:t>6.6</w:t>
            </w:r>
          </w:p>
        </w:tc>
        <w:tc>
          <w:tcPr>
            <w:tcW w:w="459" w:type="pct"/>
            <w:vAlign w:val="center"/>
          </w:tcPr>
          <w:p w:rsidR="0031727F" w:rsidRDefault="0031727F" w:rsidP="00E964F6">
            <w:pPr>
              <w:pStyle w:val="TableText"/>
            </w:pPr>
            <w:r>
              <w:t>5.6</w:t>
            </w:r>
          </w:p>
        </w:tc>
        <w:tc>
          <w:tcPr>
            <w:tcW w:w="459" w:type="pct"/>
            <w:vAlign w:val="center"/>
          </w:tcPr>
          <w:p w:rsidR="0031727F" w:rsidRDefault="0031727F" w:rsidP="00E964F6">
            <w:pPr>
              <w:pStyle w:val="TableText"/>
            </w:pPr>
            <w:r>
              <w:t>4.4</w:t>
            </w:r>
          </w:p>
        </w:tc>
        <w:tc>
          <w:tcPr>
            <w:tcW w:w="459" w:type="pct"/>
            <w:vAlign w:val="center"/>
          </w:tcPr>
          <w:p w:rsidR="0031727F" w:rsidRDefault="0031727F" w:rsidP="00E964F6">
            <w:pPr>
              <w:pStyle w:val="TableText"/>
            </w:pPr>
            <w:r>
              <w:t>4.6</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r>
              <w:t>5.0</w:t>
            </w:r>
          </w:p>
        </w:tc>
        <w:tc>
          <w:tcPr>
            <w:tcW w:w="459" w:type="pct"/>
            <w:vAlign w:val="center"/>
          </w:tcPr>
          <w:p w:rsidR="0031727F" w:rsidRDefault="0031727F" w:rsidP="00E964F6">
            <w:pPr>
              <w:pStyle w:val="TableText"/>
            </w:pPr>
          </w:p>
        </w:tc>
      </w:tr>
      <w:tr w:rsidR="0031727F" w:rsidTr="00E964F6">
        <w:trPr>
          <w:jc w:val="center"/>
        </w:trPr>
        <w:tc>
          <w:tcPr>
            <w:tcW w:w="2100" w:type="pct"/>
            <w:tcBorders>
              <w:bottom w:val="single" w:sz="4" w:space="0" w:color="auto"/>
            </w:tcBorders>
          </w:tcPr>
          <w:p w:rsidR="0031727F" w:rsidRDefault="0031727F" w:rsidP="00E964F6">
            <w:pPr>
              <w:pStyle w:val="TableText"/>
            </w:pPr>
            <w:r>
              <w:t>Inflation rate (%)</w:t>
            </w:r>
          </w:p>
        </w:tc>
        <w:tc>
          <w:tcPr>
            <w:tcW w:w="459" w:type="pct"/>
            <w:tcBorders>
              <w:bottom w:val="single" w:sz="4" w:space="0" w:color="auto"/>
            </w:tcBorders>
            <w:vAlign w:val="center"/>
          </w:tcPr>
          <w:p w:rsidR="0031727F" w:rsidRDefault="0031727F" w:rsidP="00E964F6">
            <w:pPr>
              <w:pStyle w:val="TableText"/>
            </w:pPr>
            <w:r>
              <w:t>3.1</w:t>
            </w:r>
          </w:p>
        </w:tc>
        <w:tc>
          <w:tcPr>
            <w:tcW w:w="459" w:type="pct"/>
            <w:tcBorders>
              <w:bottom w:val="single" w:sz="4" w:space="0" w:color="auto"/>
            </w:tcBorders>
            <w:vAlign w:val="center"/>
          </w:tcPr>
          <w:p w:rsidR="0031727F" w:rsidRDefault="0031727F" w:rsidP="00E964F6">
            <w:pPr>
              <w:pStyle w:val="TableText"/>
            </w:pPr>
            <w:r>
              <w:t>5.2</w:t>
            </w:r>
          </w:p>
        </w:tc>
        <w:tc>
          <w:tcPr>
            <w:tcW w:w="459" w:type="pct"/>
            <w:tcBorders>
              <w:bottom w:val="single" w:sz="4" w:space="0" w:color="auto"/>
            </w:tcBorders>
            <w:vAlign w:val="center"/>
          </w:tcPr>
          <w:p w:rsidR="0031727F" w:rsidRDefault="0031727F" w:rsidP="00E964F6">
            <w:pPr>
              <w:pStyle w:val="TableText"/>
            </w:pPr>
            <w:r>
              <w:t>2.4</w:t>
            </w:r>
          </w:p>
        </w:tc>
        <w:tc>
          <w:tcPr>
            <w:tcW w:w="459" w:type="pct"/>
            <w:tcBorders>
              <w:bottom w:val="single" w:sz="4" w:space="0" w:color="auto"/>
            </w:tcBorders>
            <w:vAlign w:val="center"/>
          </w:tcPr>
          <w:p w:rsidR="0031727F" w:rsidRDefault="0031727F" w:rsidP="00E964F6">
            <w:pPr>
              <w:pStyle w:val="TableText"/>
            </w:pPr>
            <w:r>
              <w:t>2.9</w:t>
            </w:r>
          </w:p>
        </w:tc>
        <w:tc>
          <w:tcPr>
            <w:tcW w:w="204" w:type="pct"/>
            <w:tcBorders>
              <w:bottom w:val="single" w:sz="4" w:space="0" w:color="auto"/>
            </w:tcBorders>
            <w:vAlign w:val="center"/>
          </w:tcPr>
          <w:p w:rsidR="0031727F" w:rsidRDefault="0031727F" w:rsidP="00E964F6">
            <w:pPr>
              <w:pStyle w:val="TableText"/>
            </w:pPr>
          </w:p>
        </w:tc>
        <w:tc>
          <w:tcPr>
            <w:tcW w:w="459" w:type="pct"/>
            <w:tcBorders>
              <w:bottom w:val="single" w:sz="4" w:space="0" w:color="auto"/>
            </w:tcBorders>
            <w:vAlign w:val="center"/>
          </w:tcPr>
          <w:p w:rsidR="0031727F" w:rsidRDefault="0031727F" w:rsidP="00E964F6">
            <w:pPr>
              <w:pStyle w:val="TableText"/>
            </w:pPr>
            <w:r>
              <w:t>3.0</w:t>
            </w:r>
          </w:p>
        </w:tc>
        <w:tc>
          <w:tcPr>
            <w:tcW w:w="459" w:type="pct"/>
            <w:tcBorders>
              <w:bottom w:val="single" w:sz="4" w:space="0" w:color="auto"/>
            </w:tcBorders>
            <w:vAlign w:val="center"/>
          </w:tcPr>
          <w:p w:rsidR="0031727F" w:rsidRDefault="0031727F" w:rsidP="00E964F6">
            <w:pPr>
              <w:pStyle w:val="TableText"/>
            </w:pPr>
          </w:p>
        </w:tc>
      </w:tr>
      <w:tr w:rsidR="0031727F" w:rsidTr="00E964F6">
        <w:trPr>
          <w:jc w:val="center"/>
        </w:trPr>
        <w:tc>
          <w:tcPr>
            <w:tcW w:w="2100" w:type="pct"/>
            <w:tcBorders>
              <w:top w:val="single" w:sz="4" w:space="0" w:color="auto"/>
              <w:bottom w:val="nil"/>
            </w:tcBorders>
          </w:tcPr>
          <w:p w:rsidR="0031727F" w:rsidRDefault="0031727F" w:rsidP="00E964F6">
            <w:pPr>
              <w:pStyle w:val="TableText"/>
            </w:pPr>
            <w:r>
              <w:t>Poverty</w:t>
            </w:r>
          </w:p>
        </w:tc>
        <w:tc>
          <w:tcPr>
            <w:tcW w:w="459"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c>
          <w:tcPr>
            <w:tcW w:w="204"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r>
      <w:tr w:rsidR="0031727F" w:rsidTr="00E964F6">
        <w:trPr>
          <w:jc w:val="center"/>
        </w:trPr>
        <w:tc>
          <w:tcPr>
            <w:tcW w:w="2100" w:type="pct"/>
            <w:tcBorders>
              <w:top w:val="nil"/>
              <w:bottom w:val="nil"/>
            </w:tcBorders>
          </w:tcPr>
          <w:p w:rsidR="0031727F" w:rsidRDefault="0031727F" w:rsidP="00E964F6">
            <w:pPr>
              <w:pStyle w:val="TableText"/>
            </w:pPr>
            <w:r>
              <w:t>Absolute poverty headcount rate (%) [1]</w:t>
            </w: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25.4</w:t>
            </w: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20.0</w:t>
            </w:r>
          </w:p>
        </w:tc>
        <w:tc>
          <w:tcPr>
            <w:tcW w:w="459" w:type="pct"/>
            <w:tcBorders>
              <w:top w:val="nil"/>
              <w:bottom w:val="nil"/>
            </w:tcBorders>
            <w:vAlign w:val="center"/>
          </w:tcPr>
          <w:p w:rsidR="0031727F" w:rsidRDefault="0031727F" w:rsidP="00E964F6">
            <w:pPr>
              <w:pStyle w:val="TableText"/>
            </w:pPr>
            <w:r>
              <w:t>10.0</w:t>
            </w:r>
          </w:p>
        </w:tc>
      </w:tr>
      <w:tr w:rsidR="0031727F" w:rsidTr="00E964F6">
        <w:trPr>
          <w:jc w:val="center"/>
        </w:trPr>
        <w:tc>
          <w:tcPr>
            <w:tcW w:w="2100" w:type="pct"/>
            <w:tcBorders>
              <w:top w:val="nil"/>
              <w:bottom w:val="nil"/>
            </w:tcBorders>
          </w:tcPr>
          <w:p w:rsidR="0031727F" w:rsidRDefault="0031727F" w:rsidP="00E964F6">
            <w:pPr>
              <w:pStyle w:val="TableText"/>
            </w:pPr>
            <w:r>
              <w:t>Extreme poverty headcount rate (%) [2]</w:t>
            </w: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4.7</w:t>
            </w: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3.0</w:t>
            </w:r>
          </w:p>
        </w:tc>
        <w:tc>
          <w:tcPr>
            <w:tcW w:w="459" w:type="pct"/>
            <w:tcBorders>
              <w:top w:val="nil"/>
              <w:bottom w:val="nil"/>
            </w:tcBorders>
            <w:vAlign w:val="center"/>
          </w:tcPr>
          <w:p w:rsidR="0031727F" w:rsidRDefault="0031727F" w:rsidP="00E964F6">
            <w:pPr>
              <w:pStyle w:val="TableText"/>
            </w:pPr>
            <w:r>
              <w:t>0</w:t>
            </w:r>
          </w:p>
        </w:tc>
      </w:tr>
      <w:tr w:rsidR="0031727F" w:rsidTr="00E964F6">
        <w:trPr>
          <w:jc w:val="center"/>
        </w:trPr>
        <w:tc>
          <w:tcPr>
            <w:tcW w:w="2100" w:type="pct"/>
            <w:tcBorders>
              <w:top w:val="nil"/>
              <w:bottom w:val="single" w:sz="4" w:space="0" w:color="auto"/>
            </w:tcBorders>
          </w:tcPr>
          <w:p w:rsidR="0031727F" w:rsidRDefault="0031727F" w:rsidP="00E964F6">
            <w:pPr>
              <w:pStyle w:val="TableText"/>
            </w:pPr>
            <w:r>
              <w:t>Unemployment rate (%) [3]</w:t>
            </w:r>
          </w:p>
        </w:tc>
        <w:tc>
          <w:tcPr>
            <w:tcW w:w="459" w:type="pct"/>
            <w:tcBorders>
              <w:top w:val="nil"/>
              <w:bottom w:val="single" w:sz="4" w:space="0" w:color="auto"/>
            </w:tcBorders>
            <w:vAlign w:val="center"/>
          </w:tcPr>
          <w:p w:rsidR="0031727F" w:rsidRDefault="0031727F" w:rsidP="00E964F6">
            <w:pPr>
              <w:pStyle w:val="TableText"/>
            </w:pPr>
            <w:r>
              <w:t>16.4</w:t>
            </w:r>
          </w:p>
        </w:tc>
        <w:tc>
          <w:tcPr>
            <w:tcW w:w="459" w:type="pct"/>
            <w:tcBorders>
              <w:top w:val="nil"/>
              <w:bottom w:val="single" w:sz="4" w:space="0" w:color="auto"/>
            </w:tcBorders>
            <w:vAlign w:val="center"/>
          </w:tcPr>
          <w:p w:rsidR="0031727F" w:rsidRDefault="0031727F" w:rsidP="00E964F6">
            <w:pPr>
              <w:pStyle w:val="TableText"/>
            </w:pPr>
            <w:r>
              <w:t>15.8</w:t>
            </w:r>
          </w:p>
        </w:tc>
        <w:tc>
          <w:tcPr>
            <w:tcW w:w="459" w:type="pct"/>
            <w:tcBorders>
              <w:top w:val="nil"/>
              <w:bottom w:val="single" w:sz="4" w:space="0" w:color="auto"/>
            </w:tcBorders>
            <w:vAlign w:val="center"/>
          </w:tcPr>
          <w:p w:rsidR="0031727F" w:rsidRDefault="0031727F" w:rsidP="00E964F6">
            <w:pPr>
              <w:pStyle w:val="TableText"/>
            </w:pPr>
            <w:r>
              <w:t>15.0</w:t>
            </w:r>
          </w:p>
        </w:tc>
        <w:tc>
          <w:tcPr>
            <w:tcW w:w="459" w:type="pct"/>
            <w:tcBorders>
              <w:top w:val="nil"/>
              <w:bottom w:val="single" w:sz="4" w:space="0" w:color="auto"/>
            </w:tcBorders>
            <w:vAlign w:val="center"/>
          </w:tcPr>
          <w:p w:rsidR="0031727F" w:rsidRDefault="0031727F" w:rsidP="00E964F6">
            <w:pPr>
              <w:pStyle w:val="TableText"/>
            </w:pPr>
            <w:r>
              <w:t>14.4</w:t>
            </w:r>
          </w:p>
        </w:tc>
        <w:tc>
          <w:tcPr>
            <w:tcW w:w="204" w:type="pct"/>
            <w:tcBorders>
              <w:top w:val="nil"/>
              <w:bottom w:val="single" w:sz="4" w:space="0" w:color="auto"/>
            </w:tcBorders>
            <w:vAlign w:val="center"/>
          </w:tcPr>
          <w:p w:rsidR="0031727F" w:rsidRDefault="0031727F" w:rsidP="00E964F6">
            <w:pPr>
              <w:pStyle w:val="TableText"/>
            </w:pPr>
          </w:p>
        </w:tc>
        <w:tc>
          <w:tcPr>
            <w:tcW w:w="459" w:type="pct"/>
            <w:tcBorders>
              <w:top w:val="nil"/>
              <w:bottom w:val="single" w:sz="4" w:space="0" w:color="auto"/>
            </w:tcBorders>
            <w:vAlign w:val="center"/>
          </w:tcPr>
          <w:p w:rsidR="0031727F" w:rsidRDefault="0031727F" w:rsidP="00E964F6">
            <w:pPr>
              <w:pStyle w:val="TableText"/>
            </w:pPr>
            <w:r>
              <w:t>12.0</w:t>
            </w:r>
          </w:p>
        </w:tc>
        <w:tc>
          <w:tcPr>
            <w:tcW w:w="459" w:type="pct"/>
            <w:tcBorders>
              <w:top w:val="nil"/>
              <w:bottom w:val="single" w:sz="4" w:space="0" w:color="auto"/>
            </w:tcBorders>
            <w:vAlign w:val="center"/>
          </w:tcPr>
          <w:p w:rsidR="0031727F" w:rsidRDefault="0031727F" w:rsidP="00E964F6">
            <w:pPr>
              <w:pStyle w:val="TableText"/>
            </w:pPr>
          </w:p>
        </w:tc>
      </w:tr>
      <w:tr w:rsidR="0031727F" w:rsidTr="00E964F6">
        <w:trPr>
          <w:jc w:val="center"/>
        </w:trPr>
        <w:tc>
          <w:tcPr>
            <w:tcW w:w="2100" w:type="pct"/>
            <w:tcBorders>
              <w:top w:val="single" w:sz="4" w:space="0" w:color="auto"/>
            </w:tcBorders>
          </w:tcPr>
          <w:p w:rsidR="0031727F" w:rsidRDefault="0031727F" w:rsidP="00E964F6">
            <w:pPr>
              <w:pStyle w:val="TableText"/>
            </w:pPr>
            <w:r>
              <w:t>Health</w:t>
            </w:r>
          </w:p>
        </w:tc>
        <w:tc>
          <w:tcPr>
            <w:tcW w:w="459"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c>
          <w:tcPr>
            <w:tcW w:w="204"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r>
      <w:tr w:rsidR="0031727F" w:rsidTr="00E964F6">
        <w:trPr>
          <w:jc w:val="center"/>
        </w:trPr>
        <w:tc>
          <w:tcPr>
            <w:tcW w:w="2100" w:type="pct"/>
          </w:tcPr>
          <w:p w:rsidR="0031727F" w:rsidRDefault="0031727F" w:rsidP="00E964F6">
            <w:pPr>
              <w:pStyle w:val="TableText"/>
            </w:pPr>
            <w:r>
              <w:t>Infant mortality per 1,000 live births [12]</w:t>
            </w:r>
          </w:p>
        </w:tc>
        <w:tc>
          <w:tcPr>
            <w:tcW w:w="459" w:type="pct"/>
            <w:vAlign w:val="center"/>
          </w:tcPr>
          <w:p w:rsidR="0031727F" w:rsidRDefault="0031727F" w:rsidP="00E964F6">
            <w:pPr>
              <w:pStyle w:val="TableText"/>
            </w:pPr>
            <w:r>
              <w:t>17.4</w:t>
            </w:r>
          </w:p>
        </w:tc>
        <w:tc>
          <w:tcPr>
            <w:tcW w:w="459" w:type="pct"/>
            <w:vAlign w:val="center"/>
          </w:tcPr>
          <w:p w:rsidR="0031727F" w:rsidRDefault="0031727F" w:rsidP="00E964F6">
            <w:pPr>
              <w:pStyle w:val="TableText"/>
            </w:pPr>
            <w:r>
              <w:t>17.5</w:t>
            </w:r>
          </w:p>
        </w:tc>
        <w:tc>
          <w:tcPr>
            <w:tcW w:w="459" w:type="pct"/>
            <w:vAlign w:val="center"/>
          </w:tcPr>
          <w:p w:rsidR="0031727F" w:rsidRDefault="0031727F" w:rsidP="00E964F6">
            <w:pPr>
              <w:pStyle w:val="TableText"/>
            </w:pPr>
            <w:r>
              <w:t>15.5</w:t>
            </w:r>
          </w:p>
        </w:tc>
        <w:tc>
          <w:tcPr>
            <w:tcW w:w="459" w:type="pct"/>
            <w:vAlign w:val="center"/>
          </w:tcPr>
          <w:p w:rsidR="0031727F" w:rsidRDefault="0031727F" w:rsidP="00E964F6">
            <w:pPr>
              <w:pStyle w:val="TableText"/>
            </w:pPr>
            <w:r>
              <w:t>15.1</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r>
              <w:t>15.0</w:t>
            </w:r>
          </w:p>
        </w:tc>
        <w:tc>
          <w:tcPr>
            <w:tcW w:w="459" w:type="pct"/>
            <w:vAlign w:val="center"/>
          </w:tcPr>
          <w:p w:rsidR="0031727F" w:rsidRDefault="0031727F" w:rsidP="00E964F6">
            <w:pPr>
              <w:pStyle w:val="TableText"/>
            </w:pPr>
            <w:r>
              <w:t>10.0</w:t>
            </w:r>
          </w:p>
        </w:tc>
      </w:tr>
      <w:tr w:rsidR="0031727F" w:rsidTr="00E964F6">
        <w:trPr>
          <w:jc w:val="center"/>
        </w:trPr>
        <w:tc>
          <w:tcPr>
            <w:tcW w:w="2100" w:type="pct"/>
          </w:tcPr>
          <w:p w:rsidR="0031727F" w:rsidRDefault="0031727F" w:rsidP="00E964F6">
            <w:pPr>
              <w:pStyle w:val="TableText"/>
            </w:pPr>
            <w:r>
              <w:t>Maternal mortality per 100,000 live births [13]</w:t>
            </w:r>
          </w:p>
        </w:tc>
        <w:tc>
          <w:tcPr>
            <w:tcW w:w="459" w:type="pct"/>
            <w:vAlign w:val="center"/>
          </w:tcPr>
          <w:p w:rsidR="0031727F" w:rsidRDefault="0031727F" w:rsidP="00E964F6">
            <w:pPr>
              <w:pStyle w:val="TableText"/>
            </w:pPr>
            <w:r>
              <w:t>22.7</w:t>
            </w:r>
          </w:p>
        </w:tc>
        <w:tc>
          <w:tcPr>
            <w:tcW w:w="459" w:type="pct"/>
            <w:vAlign w:val="center"/>
          </w:tcPr>
          <w:p w:rsidR="0031727F" w:rsidRDefault="0031727F" w:rsidP="00E964F6">
            <w:pPr>
              <w:pStyle w:val="TableText"/>
            </w:pPr>
            <w:r>
              <w:t>25.9</w:t>
            </w:r>
          </w:p>
        </w:tc>
        <w:tc>
          <w:tcPr>
            <w:tcW w:w="459" w:type="pct"/>
            <w:vAlign w:val="center"/>
          </w:tcPr>
          <w:p w:rsidR="0031727F" w:rsidRDefault="0031727F" w:rsidP="00E964F6">
            <w:pPr>
              <w:pStyle w:val="TableText"/>
            </w:pPr>
            <w:r>
              <w:t>21.3</w:t>
            </w:r>
          </w:p>
        </w:tc>
        <w:tc>
          <w:tcPr>
            <w:tcW w:w="459" w:type="pct"/>
            <w:vAlign w:val="center"/>
          </w:tcPr>
          <w:p w:rsidR="0031727F" w:rsidRDefault="0031727F" w:rsidP="00E964F6">
            <w:pPr>
              <w:pStyle w:val="TableText"/>
            </w:pPr>
            <w:r>
              <w:t>12.0</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r>
              <w:t>15.0</w:t>
            </w:r>
          </w:p>
        </w:tc>
        <w:tc>
          <w:tcPr>
            <w:tcW w:w="459" w:type="pct"/>
            <w:vAlign w:val="center"/>
          </w:tcPr>
          <w:p w:rsidR="0031727F" w:rsidRDefault="0031727F" w:rsidP="00E964F6">
            <w:pPr>
              <w:pStyle w:val="TableText"/>
            </w:pPr>
            <w:r>
              <w:t>11.0</w:t>
            </w:r>
          </w:p>
        </w:tc>
      </w:tr>
      <w:tr w:rsidR="0031727F" w:rsidTr="00E964F6">
        <w:trPr>
          <w:jc w:val="center"/>
        </w:trPr>
        <w:tc>
          <w:tcPr>
            <w:tcW w:w="2100" w:type="pct"/>
            <w:tcBorders>
              <w:bottom w:val="single" w:sz="4" w:space="0" w:color="auto"/>
            </w:tcBorders>
          </w:tcPr>
          <w:p w:rsidR="0031727F" w:rsidRDefault="0031727F" w:rsidP="00E964F6">
            <w:pPr>
              <w:pStyle w:val="TableText"/>
            </w:pPr>
            <w:r>
              <w:t>Diarrhoeal diseases per 100,000 people</w:t>
            </w:r>
          </w:p>
        </w:tc>
        <w:tc>
          <w:tcPr>
            <w:tcW w:w="459" w:type="pct"/>
            <w:tcBorders>
              <w:bottom w:val="single" w:sz="4" w:space="0" w:color="auto"/>
            </w:tcBorders>
            <w:vAlign w:val="center"/>
          </w:tcPr>
          <w:p w:rsidR="0031727F" w:rsidRDefault="0031727F" w:rsidP="00E964F6">
            <w:pPr>
              <w:pStyle w:val="TableText"/>
            </w:pPr>
            <w:r>
              <w:t>1509</w:t>
            </w:r>
          </w:p>
        </w:tc>
        <w:tc>
          <w:tcPr>
            <w:tcW w:w="459" w:type="pct"/>
            <w:tcBorders>
              <w:bottom w:val="single" w:sz="4" w:space="0" w:color="auto"/>
            </w:tcBorders>
            <w:vAlign w:val="center"/>
          </w:tcPr>
          <w:p w:rsidR="0031727F" w:rsidRDefault="0031727F" w:rsidP="00E964F6">
            <w:pPr>
              <w:pStyle w:val="TableText"/>
            </w:pPr>
            <w:r>
              <w:t>1623</w:t>
            </w:r>
          </w:p>
        </w:tc>
        <w:tc>
          <w:tcPr>
            <w:tcW w:w="459" w:type="pct"/>
            <w:tcBorders>
              <w:bottom w:val="single" w:sz="4" w:space="0" w:color="auto"/>
            </w:tcBorders>
            <w:vAlign w:val="center"/>
          </w:tcPr>
          <w:p w:rsidR="0031727F" w:rsidRDefault="0031727F" w:rsidP="00E964F6">
            <w:pPr>
              <w:pStyle w:val="TableText"/>
            </w:pPr>
            <w:r>
              <w:t>1612</w:t>
            </w:r>
          </w:p>
        </w:tc>
        <w:tc>
          <w:tcPr>
            <w:tcW w:w="459" w:type="pct"/>
            <w:tcBorders>
              <w:bottom w:val="single" w:sz="4" w:space="0" w:color="auto"/>
            </w:tcBorders>
            <w:vAlign w:val="center"/>
          </w:tcPr>
          <w:p w:rsidR="0031727F" w:rsidRDefault="0031727F" w:rsidP="00E964F6">
            <w:pPr>
              <w:pStyle w:val="TableText"/>
            </w:pPr>
            <w:r>
              <w:t>1448</w:t>
            </w:r>
          </w:p>
        </w:tc>
        <w:tc>
          <w:tcPr>
            <w:tcW w:w="204" w:type="pct"/>
            <w:tcBorders>
              <w:bottom w:val="single" w:sz="4" w:space="0" w:color="auto"/>
            </w:tcBorders>
            <w:vAlign w:val="center"/>
          </w:tcPr>
          <w:p w:rsidR="0031727F" w:rsidRDefault="0031727F" w:rsidP="00E964F6">
            <w:pPr>
              <w:pStyle w:val="TableText"/>
            </w:pPr>
          </w:p>
        </w:tc>
        <w:tc>
          <w:tcPr>
            <w:tcW w:w="459" w:type="pct"/>
            <w:tcBorders>
              <w:bottom w:val="single" w:sz="4" w:space="0" w:color="auto"/>
            </w:tcBorders>
            <w:vAlign w:val="center"/>
          </w:tcPr>
          <w:p w:rsidR="0031727F" w:rsidRDefault="0031727F" w:rsidP="00E964F6">
            <w:pPr>
              <w:pStyle w:val="TableText"/>
            </w:pPr>
            <w:r>
              <w:t>600</w:t>
            </w:r>
          </w:p>
        </w:tc>
        <w:tc>
          <w:tcPr>
            <w:tcW w:w="459" w:type="pct"/>
            <w:tcBorders>
              <w:bottom w:val="single" w:sz="4" w:space="0" w:color="auto"/>
            </w:tcBorders>
            <w:vAlign w:val="center"/>
          </w:tcPr>
          <w:p w:rsidR="0031727F" w:rsidRDefault="0031727F" w:rsidP="00E964F6">
            <w:pPr>
              <w:pStyle w:val="TableText"/>
            </w:pPr>
          </w:p>
        </w:tc>
      </w:tr>
      <w:tr w:rsidR="0031727F" w:rsidTr="00E964F6">
        <w:trPr>
          <w:jc w:val="center"/>
        </w:trPr>
        <w:tc>
          <w:tcPr>
            <w:tcW w:w="2100" w:type="pct"/>
            <w:tcBorders>
              <w:top w:val="single" w:sz="4" w:space="0" w:color="auto"/>
              <w:bottom w:val="nil"/>
            </w:tcBorders>
          </w:tcPr>
          <w:p w:rsidR="0031727F" w:rsidRDefault="0031727F" w:rsidP="00E964F6">
            <w:pPr>
              <w:pStyle w:val="TableText"/>
            </w:pPr>
            <w:r>
              <w:t>Education</w:t>
            </w:r>
          </w:p>
        </w:tc>
        <w:tc>
          <w:tcPr>
            <w:tcW w:w="459"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c>
          <w:tcPr>
            <w:tcW w:w="204"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c>
          <w:tcPr>
            <w:tcW w:w="459" w:type="pct"/>
            <w:tcBorders>
              <w:top w:val="single" w:sz="4" w:space="0" w:color="auto"/>
              <w:bottom w:val="nil"/>
            </w:tcBorders>
            <w:vAlign w:val="center"/>
          </w:tcPr>
          <w:p w:rsidR="0031727F" w:rsidRDefault="0031727F" w:rsidP="00E964F6">
            <w:pPr>
              <w:pStyle w:val="TableText"/>
            </w:pPr>
          </w:p>
        </w:tc>
      </w:tr>
      <w:tr w:rsidR="0031727F" w:rsidTr="00E964F6">
        <w:trPr>
          <w:jc w:val="center"/>
        </w:trPr>
        <w:tc>
          <w:tcPr>
            <w:tcW w:w="2100" w:type="pct"/>
            <w:tcBorders>
              <w:top w:val="nil"/>
              <w:bottom w:val="nil"/>
            </w:tcBorders>
          </w:tcPr>
          <w:p w:rsidR="0031727F" w:rsidRDefault="0031727F" w:rsidP="00E964F6">
            <w:pPr>
              <w:pStyle w:val="TableText"/>
            </w:pPr>
            <w:r>
              <w:t>Literacy rate of people aged 15-24 (%) [8]</w:t>
            </w:r>
          </w:p>
        </w:tc>
        <w:tc>
          <w:tcPr>
            <w:tcW w:w="459" w:type="pct"/>
            <w:tcBorders>
              <w:top w:val="nil"/>
              <w:bottom w:val="nil"/>
            </w:tcBorders>
            <w:vAlign w:val="center"/>
          </w:tcPr>
          <w:p w:rsidR="0031727F" w:rsidRDefault="0031727F" w:rsidP="00E964F6">
            <w:pPr>
              <w:pStyle w:val="TableText"/>
            </w:pPr>
            <w:r>
              <w:t>98.4</w:t>
            </w: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98.8</w:t>
            </w:r>
          </w:p>
        </w:tc>
        <w:tc>
          <w:tcPr>
            <w:tcW w:w="459" w:type="pct"/>
            <w:tcBorders>
              <w:top w:val="nil"/>
              <w:bottom w:val="nil"/>
            </w:tcBorders>
            <w:vAlign w:val="center"/>
          </w:tcPr>
          <w:p w:rsidR="0031727F" w:rsidRDefault="0031727F" w:rsidP="00E964F6">
            <w:pPr>
              <w:pStyle w:val="TableText"/>
            </w:pPr>
            <w:r>
              <w:t>100</w:t>
            </w:r>
          </w:p>
        </w:tc>
      </w:tr>
      <w:tr w:rsidR="0031727F" w:rsidTr="00E964F6">
        <w:trPr>
          <w:jc w:val="center"/>
        </w:trPr>
        <w:tc>
          <w:tcPr>
            <w:tcW w:w="2100" w:type="pct"/>
            <w:tcBorders>
              <w:top w:val="nil"/>
              <w:bottom w:val="nil"/>
            </w:tcBorders>
          </w:tcPr>
          <w:p w:rsidR="0031727F" w:rsidRDefault="0031727F" w:rsidP="00E964F6">
            <w:pPr>
              <w:pStyle w:val="TableText"/>
            </w:pPr>
            <w:r>
              <w:t xml:space="preserve">Ratio of literate women to men aged 15-24 </w:t>
            </w: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r>
      <w:tr w:rsidR="0031727F" w:rsidTr="00E964F6">
        <w:trPr>
          <w:jc w:val="center"/>
        </w:trPr>
        <w:tc>
          <w:tcPr>
            <w:tcW w:w="2100" w:type="pct"/>
            <w:tcBorders>
              <w:top w:val="nil"/>
              <w:bottom w:val="nil"/>
            </w:tcBorders>
          </w:tcPr>
          <w:p w:rsidR="0031727F" w:rsidRDefault="0031727F" w:rsidP="00E964F6">
            <w:pPr>
              <w:pStyle w:val="TableText"/>
            </w:pPr>
            <w:r>
              <w:tab/>
              <w:t>Urban areas (%) [10]</w:t>
            </w:r>
          </w:p>
        </w:tc>
        <w:tc>
          <w:tcPr>
            <w:tcW w:w="459" w:type="pct"/>
            <w:tcBorders>
              <w:top w:val="nil"/>
              <w:bottom w:val="nil"/>
            </w:tcBorders>
            <w:vAlign w:val="center"/>
          </w:tcPr>
          <w:p w:rsidR="0031727F" w:rsidRDefault="0031727F" w:rsidP="00E964F6">
            <w:pPr>
              <w:pStyle w:val="TableText"/>
            </w:pPr>
            <w:r>
              <w:t>90</w:t>
            </w: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100</w:t>
            </w:r>
          </w:p>
        </w:tc>
      </w:tr>
      <w:tr w:rsidR="0031727F" w:rsidTr="00E964F6">
        <w:trPr>
          <w:jc w:val="center"/>
        </w:trPr>
        <w:tc>
          <w:tcPr>
            <w:tcW w:w="2100" w:type="pct"/>
            <w:tcBorders>
              <w:top w:val="nil"/>
              <w:bottom w:val="nil"/>
            </w:tcBorders>
          </w:tcPr>
          <w:p w:rsidR="0031727F" w:rsidRDefault="0031727F" w:rsidP="00E964F6">
            <w:pPr>
              <w:pStyle w:val="TableText"/>
            </w:pPr>
            <w:r>
              <w:tab/>
              <w:t>Rural areas (%) [10]</w:t>
            </w:r>
          </w:p>
        </w:tc>
        <w:tc>
          <w:tcPr>
            <w:tcW w:w="459" w:type="pct"/>
            <w:tcBorders>
              <w:top w:val="nil"/>
              <w:bottom w:val="nil"/>
            </w:tcBorders>
            <w:vAlign w:val="center"/>
          </w:tcPr>
          <w:p w:rsidR="0031727F" w:rsidRDefault="0031727F" w:rsidP="00E964F6">
            <w:pPr>
              <w:pStyle w:val="TableText"/>
            </w:pPr>
            <w:r>
              <w:t>87</w:t>
            </w: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100</w:t>
            </w:r>
          </w:p>
        </w:tc>
      </w:tr>
      <w:tr w:rsidR="0031727F" w:rsidTr="00E964F6">
        <w:trPr>
          <w:jc w:val="center"/>
        </w:trPr>
        <w:tc>
          <w:tcPr>
            <w:tcW w:w="2100" w:type="pct"/>
            <w:tcBorders>
              <w:top w:val="nil"/>
              <w:bottom w:val="nil"/>
            </w:tcBorders>
          </w:tcPr>
          <w:p w:rsidR="0031727F" w:rsidRDefault="0031727F" w:rsidP="00E964F6">
            <w:pPr>
              <w:pStyle w:val="TableText"/>
            </w:pPr>
            <w:r>
              <w:t>Basic education completion rate (%) [8]</w:t>
            </w:r>
          </w:p>
        </w:tc>
        <w:tc>
          <w:tcPr>
            <w:tcW w:w="459" w:type="pct"/>
            <w:tcBorders>
              <w:top w:val="nil"/>
              <w:bottom w:val="nil"/>
            </w:tcBorders>
            <w:vAlign w:val="center"/>
          </w:tcPr>
          <w:p w:rsidR="0031727F" w:rsidRDefault="0031727F" w:rsidP="00E964F6">
            <w:pPr>
              <w:pStyle w:val="TableText"/>
            </w:pPr>
            <w:r>
              <w:t>97</w:t>
            </w:r>
          </w:p>
        </w:tc>
        <w:tc>
          <w:tcPr>
            <w:tcW w:w="459" w:type="pct"/>
            <w:tcBorders>
              <w:top w:val="nil"/>
              <w:bottom w:val="nil"/>
            </w:tcBorders>
            <w:vAlign w:val="center"/>
          </w:tcPr>
          <w:p w:rsidR="0031727F" w:rsidRDefault="0031727F" w:rsidP="00E964F6">
            <w:pPr>
              <w:pStyle w:val="TableText"/>
            </w:pPr>
            <w:r>
              <w:t>98</w:t>
            </w:r>
          </w:p>
        </w:tc>
        <w:tc>
          <w:tcPr>
            <w:tcW w:w="459" w:type="pct"/>
            <w:tcBorders>
              <w:top w:val="nil"/>
              <w:bottom w:val="nil"/>
            </w:tcBorders>
            <w:vAlign w:val="center"/>
          </w:tcPr>
          <w:p w:rsidR="0031727F" w:rsidRDefault="0031727F" w:rsidP="00E964F6">
            <w:pPr>
              <w:pStyle w:val="TableText"/>
            </w:pPr>
            <w:r>
              <w:t>98</w:t>
            </w:r>
          </w:p>
        </w:tc>
        <w:tc>
          <w:tcPr>
            <w:tcW w:w="459" w:type="pct"/>
            <w:tcBorders>
              <w:top w:val="nil"/>
              <w:bottom w:val="nil"/>
            </w:tcBorders>
            <w:vAlign w:val="center"/>
          </w:tcPr>
          <w:p w:rsidR="0031727F" w:rsidRDefault="0031727F" w:rsidP="00E964F6">
            <w:pPr>
              <w:pStyle w:val="TableText"/>
            </w:pPr>
            <w:r>
              <w:t>97</w:t>
            </w: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99</w:t>
            </w:r>
          </w:p>
        </w:tc>
        <w:tc>
          <w:tcPr>
            <w:tcW w:w="459" w:type="pct"/>
            <w:tcBorders>
              <w:top w:val="nil"/>
              <w:bottom w:val="nil"/>
            </w:tcBorders>
            <w:vAlign w:val="center"/>
          </w:tcPr>
          <w:p w:rsidR="0031727F" w:rsidRDefault="0031727F" w:rsidP="00E964F6">
            <w:pPr>
              <w:pStyle w:val="TableText"/>
            </w:pPr>
            <w:r>
              <w:t>100</w:t>
            </w:r>
          </w:p>
        </w:tc>
      </w:tr>
      <w:tr w:rsidR="0031727F" w:rsidTr="00E964F6">
        <w:trPr>
          <w:jc w:val="center"/>
        </w:trPr>
        <w:tc>
          <w:tcPr>
            <w:tcW w:w="2100" w:type="pct"/>
            <w:tcBorders>
              <w:top w:val="nil"/>
              <w:bottom w:val="nil"/>
            </w:tcBorders>
          </w:tcPr>
          <w:p w:rsidR="0031727F" w:rsidRDefault="0031727F" w:rsidP="00E964F6">
            <w:pPr>
              <w:pStyle w:val="TableText"/>
            </w:pPr>
            <w:r>
              <w:t>Secondary education net enrolment rate (%)</w:t>
            </w:r>
          </w:p>
        </w:tc>
        <w:tc>
          <w:tcPr>
            <w:tcW w:w="459" w:type="pct"/>
            <w:tcBorders>
              <w:top w:val="nil"/>
              <w:bottom w:val="nil"/>
            </w:tcBorders>
            <w:vAlign w:val="center"/>
          </w:tcPr>
          <w:p w:rsidR="0031727F" w:rsidRDefault="0031727F" w:rsidP="00E964F6">
            <w:pPr>
              <w:pStyle w:val="TableText"/>
            </w:pPr>
            <w:r>
              <w:t>38</w:t>
            </w:r>
          </w:p>
        </w:tc>
        <w:tc>
          <w:tcPr>
            <w:tcW w:w="459" w:type="pct"/>
            <w:tcBorders>
              <w:top w:val="nil"/>
              <w:bottom w:val="nil"/>
            </w:tcBorders>
            <w:vAlign w:val="center"/>
          </w:tcPr>
          <w:p w:rsidR="0031727F" w:rsidRDefault="0031727F" w:rsidP="00E964F6">
            <w:pPr>
              <w:pStyle w:val="TableText"/>
            </w:pPr>
            <w:r>
              <w:t>42</w:t>
            </w:r>
          </w:p>
        </w:tc>
        <w:tc>
          <w:tcPr>
            <w:tcW w:w="459" w:type="pct"/>
            <w:tcBorders>
              <w:top w:val="nil"/>
              <w:bottom w:val="nil"/>
            </w:tcBorders>
            <w:vAlign w:val="center"/>
          </w:tcPr>
          <w:p w:rsidR="0031727F" w:rsidRDefault="0031727F" w:rsidP="00E964F6">
            <w:pPr>
              <w:pStyle w:val="TableText"/>
            </w:pPr>
            <w:r>
              <w:t>50</w:t>
            </w:r>
          </w:p>
        </w:tc>
        <w:tc>
          <w:tcPr>
            <w:tcW w:w="459" w:type="pct"/>
            <w:tcBorders>
              <w:top w:val="nil"/>
              <w:bottom w:val="nil"/>
            </w:tcBorders>
            <w:vAlign w:val="center"/>
          </w:tcPr>
          <w:p w:rsidR="0031727F" w:rsidRDefault="0031727F" w:rsidP="00E964F6">
            <w:pPr>
              <w:pStyle w:val="TableText"/>
            </w:pPr>
            <w:r>
              <w:t>55</w:t>
            </w: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50</w:t>
            </w:r>
          </w:p>
        </w:tc>
        <w:tc>
          <w:tcPr>
            <w:tcW w:w="459" w:type="pct"/>
            <w:tcBorders>
              <w:top w:val="nil"/>
              <w:bottom w:val="nil"/>
            </w:tcBorders>
            <w:vAlign w:val="center"/>
          </w:tcPr>
          <w:p w:rsidR="0031727F" w:rsidRDefault="0031727F" w:rsidP="00E964F6">
            <w:pPr>
              <w:pStyle w:val="TableText"/>
            </w:pPr>
            <w:r>
              <w:t>90</w:t>
            </w:r>
          </w:p>
        </w:tc>
      </w:tr>
      <w:tr w:rsidR="0031727F" w:rsidTr="00E964F6">
        <w:trPr>
          <w:jc w:val="center"/>
        </w:trPr>
        <w:tc>
          <w:tcPr>
            <w:tcW w:w="2100" w:type="pct"/>
            <w:tcBorders>
              <w:top w:val="nil"/>
              <w:bottom w:val="nil"/>
            </w:tcBorders>
          </w:tcPr>
          <w:p w:rsidR="0031727F" w:rsidRDefault="0031727F" w:rsidP="00E964F6">
            <w:pPr>
              <w:pStyle w:val="TableText"/>
            </w:pPr>
            <w:r>
              <w:t>Share of vocational enrolment in secondary education (%)</w:t>
            </w:r>
          </w:p>
        </w:tc>
        <w:tc>
          <w:tcPr>
            <w:tcW w:w="459" w:type="pct"/>
            <w:tcBorders>
              <w:top w:val="nil"/>
              <w:bottom w:val="nil"/>
            </w:tcBorders>
            <w:vAlign w:val="center"/>
          </w:tcPr>
          <w:p w:rsidR="0031727F" w:rsidRDefault="0031727F" w:rsidP="00E964F6">
            <w:pPr>
              <w:pStyle w:val="TableText"/>
            </w:pPr>
            <w:r>
              <w:t>16</w:t>
            </w:r>
          </w:p>
        </w:tc>
        <w:tc>
          <w:tcPr>
            <w:tcW w:w="459" w:type="pct"/>
            <w:tcBorders>
              <w:top w:val="nil"/>
              <w:bottom w:val="nil"/>
            </w:tcBorders>
            <w:vAlign w:val="center"/>
          </w:tcPr>
          <w:p w:rsidR="0031727F" w:rsidRDefault="0031727F" w:rsidP="00E964F6">
            <w:pPr>
              <w:pStyle w:val="TableText"/>
            </w:pPr>
            <w:r>
              <w:t>16</w:t>
            </w:r>
          </w:p>
        </w:tc>
        <w:tc>
          <w:tcPr>
            <w:tcW w:w="459" w:type="pct"/>
            <w:tcBorders>
              <w:top w:val="nil"/>
              <w:bottom w:val="nil"/>
            </w:tcBorders>
            <w:vAlign w:val="center"/>
          </w:tcPr>
          <w:p w:rsidR="0031727F" w:rsidRDefault="0031727F" w:rsidP="00E964F6">
            <w:pPr>
              <w:pStyle w:val="TableText"/>
            </w:pPr>
            <w:r>
              <w:t>16</w:t>
            </w:r>
          </w:p>
        </w:tc>
        <w:tc>
          <w:tcPr>
            <w:tcW w:w="459" w:type="pct"/>
            <w:tcBorders>
              <w:top w:val="nil"/>
              <w:bottom w:val="nil"/>
            </w:tcBorders>
            <w:vAlign w:val="center"/>
          </w:tcPr>
          <w:p w:rsidR="0031727F" w:rsidRDefault="0031727F" w:rsidP="00E964F6">
            <w:pPr>
              <w:pStyle w:val="TableText"/>
            </w:pPr>
            <w:r>
              <w:t>16</w:t>
            </w:r>
          </w:p>
        </w:tc>
        <w:tc>
          <w:tcPr>
            <w:tcW w:w="204" w:type="pct"/>
            <w:tcBorders>
              <w:top w:val="nil"/>
              <w:bottom w:val="nil"/>
            </w:tcBorders>
            <w:vAlign w:val="center"/>
          </w:tcPr>
          <w:p w:rsidR="0031727F" w:rsidRDefault="0031727F" w:rsidP="00E964F6">
            <w:pPr>
              <w:pStyle w:val="TableText"/>
            </w:pPr>
          </w:p>
        </w:tc>
        <w:tc>
          <w:tcPr>
            <w:tcW w:w="459" w:type="pct"/>
            <w:tcBorders>
              <w:top w:val="nil"/>
              <w:bottom w:val="nil"/>
            </w:tcBorders>
            <w:vAlign w:val="center"/>
          </w:tcPr>
          <w:p w:rsidR="0031727F" w:rsidRDefault="0031727F" w:rsidP="00E964F6">
            <w:pPr>
              <w:pStyle w:val="TableText"/>
            </w:pPr>
            <w:r>
              <w:t>30</w:t>
            </w:r>
          </w:p>
        </w:tc>
        <w:tc>
          <w:tcPr>
            <w:tcW w:w="459" w:type="pct"/>
            <w:tcBorders>
              <w:top w:val="nil"/>
              <w:bottom w:val="nil"/>
            </w:tcBorders>
            <w:vAlign w:val="center"/>
          </w:tcPr>
          <w:p w:rsidR="0031727F" w:rsidRDefault="0031727F" w:rsidP="00E964F6">
            <w:pPr>
              <w:pStyle w:val="TableText"/>
            </w:pPr>
          </w:p>
        </w:tc>
      </w:tr>
      <w:tr w:rsidR="0031727F" w:rsidTr="00E964F6">
        <w:trPr>
          <w:jc w:val="center"/>
        </w:trPr>
        <w:tc>
          <w:tcPr>
            <w:tcW w:w="2100" w:type="pct"/>
            <w:tcBorders>
              <w:top w:val="nil"/>
              <w:bottom w:val="single" w:sz="4" w:space="0" w:color="auto"/>
            </w:tcBorders>
          </w:tcPr>
          <w:p w:rsidR="0031727F" w:rsidRDefault="0031727F" w:rsidP="00E964F6">
            <w:pPr>
              <w:pStyle w:val="TableText"/>
            </w:pPr>
            <w:r>
              <w:t>Average number of years of schooling [8]</w:t>
            </w:r>
          </w:p>
        </w:tc>
        <w:tc>
          <w:tcPr>
            <w:tcW w:w="459" w:type="pct"/>
            <w:tcBorders>
              <w:top w:val="nil"/>
              <w:bottom w:val="single" w:sz="4" w:space="0" w:color="auto"/>
            </w:tcBorders>
            <w:vAlign w:val="center"/>
          </w:tcPr>
          <w:p w:rsidR="0031727F" w:rsidRDefault="0031727F" w:rsidP="00E964F6">
            <w:pPr>
              <w:pStyle w:val="TableText"/>
            </w:pPr>
            <w:r>
              <w:t>9.5</w:t>
            </w:r>
          </w:p>
        </w:tc>
        <w:tc>
          <w:tcPr>
            <w:tcW w:w="459" w:type="pct"/>
            <w:tcBorders>
              <w:top w:val="nil"/>
              <w:bottom w:val="single" w:sz="4" w:space="0" w:color="auto"/>
            </w:tcBorders>
            <w:vAlign w:val="center"/>
          </w:tcPr>
          <w:p w:rsidR="0031727F" w:rsidRDefault="0031727F" w:rsidP="00E964F6">
            <w:pPr>
              <w:pStyle w:val="TableText"/>
            </w:pPr>
          </w:p>
        </w:tc>
        <w:tc>
          <w:tcPr>
            <w:tcW w:w="459" w:type="pct"/>
            <w:tcBorders>
              <w:top w:val="nil"/>
              <w:bottom w:val="single" w:sz="4" w:space="0" w:color="auto"/>
            </w:tcBorders>
            <w:vAlign w:val="center"/>
          </w:tcPr>
          <w:p w:rsidR="0031727F" w:rsidRDefault="0031727F" w:rsidP="00E964F6">
            <w:pPr>
              <w:pStyle w:val="TableText"/>
            </w:pPr>
            <w:r>
              <w:t>10.5</w:t>
            </w:r>
          </w:p>
        </w:tc>
        <w:tc>
          <w:tcPr>
            <w:tcW w:w="459" w:type="pct"/>
            <w:tcBorders>
              <w:top w:val="nil"/>
              <w:bottom w:val="single" w:sz="4" w:space="0" w:color="auto"/>
            </w:tcBorders>
            <w:vAlign w:val="center"/>
          </w:tcPr>
          <w:p w:rsidR="0031727F" w:rsidRDefault="0031727F" w:rsidP="00E964F6">
            <w:pPr>
              <w:pStyle w:val="TableText"/>
            </w:pPr>
          </w:p>
        </w:tc>
        <w:tc>
          <w:tcPr>
            <w:tcW w:w="204" w:type="pct"/>
            <w:tcBorders>
              <w:top w:val="nil"/>
              <w:bottom w:val="single" w:sz="4" w:space="0" w:color="auto"/>
            </w:tcBorders>
            <w:vAlign w:val="center"/>
          </w:tcPr>
          <w:p w:rsidR="0031727F" w:rsidRDefault="0031727F" w:rsidP="00E964F6">
            <w:pPr>
              <w:pStyle w:val="TableText"/>
            </w:pPr>
          </w:p>
        </w:tc>
        <w:tc>
          <w:tcPr>
            <w:tcW w:w="459" w:type="pct"/>
            <w:tcBorders>
              <w:top w:val="nil"/>
              <w:bottom w:val="single" w:sz="4" w:space="0" w:color="auto"/>
            </w:tcBorders>
            <w:vAlign w:val="center"/>
          </w:tcPr>
          <w:p w:rsidR="0031727F" w:rsidRDefault="0031727F" w:rsidP="00E964F6">
            <w:pPr>
              <w:pStyle w:val="TableText"/>
            </w:pPr>
            <w:r>
              <w:t>10.8</w:t>
            </w:r>
          </w:p>
        </w:tc>
        <w:tc>
          <w:tcPr>
            <w:tcW w:w="459" w:type="pct"/>
            <w:tcBorders>
              <w:top w:val="nil"/>
              <w:bottom w:val="single" w:sz="4" w:space="0" w:color="auto"/>
            </w:tcBorders>
            <w:vAlign w:val="center"/>
          </w:tcPr>
          <w:p w:rsidR="0031727F" w:rsidRDefault="0031727F" w:rsidP="00E964F6">
            <w:pPr>
              <w:pStyle w:val="TableText"/>
            </w:pPr>
            <w:r>
              <w:t>13.5</w:t>
            </w:r>
          </w:p>
        </w:tc>
      </w:tr>
      <w:tr w:rsidR="0031727F" w:rsidTr="00E964F6">
        <w:trPr>
          <w:jc w:val="center"/>
        </w:trPr>
        <w:tc>
          <w:tcPr>
            <w:tcW w:w="2100" w:type="pct"/>
            <w:tcBorders>
              <w:top w:val="single" w:sz="4" w:space="0" w:color="auto"/>
            </w:tcBorders>
          </w:tcPr>
          <w:p w:rsidR="0031727F" w:rsidRDefault="0031727F" w:rsidP="00E964F6">
            <w:pPr>
              <w:pStyle w:val="TableText"/>
            </w:pPr>
            <w:r>
              <w:rPr>
                <w:b/>
              </w:rPr>
              <w:t xml:space="preserve">Governance </w:t>
            </w:r>
            <w:r>
              <w:t>(0-100) [19]</w:t>
            </w:r>
          </w:p>
        </w:tc>
        <w:tc>
          <w:tcPr>
            <w:tcW w:w="459"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c>
          <w:tcPr>
            <w:tcW w:w="204"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c>
          <w:tcPr>
            <w:tcW w:w="459" w:type="pct"/>
            <w:tcBorders>
              <w:top w:val="single" w:sz="4" w:space="0" w:color="auto"/>
            </w:tcBorders>
            <w:vAlign w:val="center"/>
          </w:tcPr>
          <w:p w:rsidR="0031727F" w:rsidRDefault="0031727F" w:rsidP="00E964F6">
            <w:pPr>
              <w:pStyle w:val="TableText"/>
            </w:pPr>
          </w:p>
        </w:tc>
      </w:tr>
      <w:tr w:rsidR="0031727F" w:rsidTr="00E964F6">
        <w:trPr>
          <w:jc w:val="center"/>
        </w:trPr>
        <w:tc>
          <w:tcPr>
            <w:tcW w:w="2100" w:type="pct"/>
          </w:tcPr>
          <w:p w:rsidR="0031727F" w:rsidRDefault="0031727F" w:rsidP="00E964F6">
            <w:pPr>
              <w:pStyle w:val="TableText"/>
            </w:pPr>
            <w:r>
              <w:t>Voice and accountability</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47.5</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48.1</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81</w:t>
            </w:r>
          </w:p>
        </w:tc>
      </w:tr>
      <w:tr w:rsidR="0031727F" w:rsidTr="00E964F6">
        <w:trPr>
          <w:jc w:val="center"/>
        </w:trPr>
        <w:tc>
          <w:tcPr>
            <w:tcW w:w="2100" w:type="pct"/>
          </w:tcPr>
          <w:p w:rsidR="0031727F" w:rsidRDefault="0031727F" w:rsidP="00E964F6">
            <w:pPr>
              <w:pStyle w:val="TableText"/>
            </w:pPr>
            <w:r>
              <w:t>Political stability</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29.7</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16.5</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71</w:t>
            </w:r>
          </w:p>
        </w:tc>
      </w:tr>
      <w:tr w:rsidR="0031727F" w:rsidTr="00E964F6">
        <w:trPr>
          <w:jc w:val="center"/>
        </w:trPr>
        <w:tc>
          <w:tcPr>
            <w:tcW w:w="2100" w:type="pct"/>
          </w:tcPr>
          <w:p w:rsidR="0031727F" w:rsidRDefault="0031727F" w:rsidP="00E964F6">
            <w:pPr>
              <w:pStyle w:val="TableText"/>
            </w:pPr>
            <w:r>
              <w:t>Effectiveness of governance</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37.3</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40.9</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76</w:t>
            </w:r>
          </w:p>
        </w:tc>
      </w:tr>
      <w:tr w:rsidR="0031727F" w:rsidTr="00E964F6">
        <w:trPr>
          <w:jc w:val="center"/>
        </w:trPr>
        <w:tc>
          <w:tcPr>
            <w:tcW w:w="2100" w:type="pct"/>
          </w:tcPr>
          <w:p w:rsidR="0031727F" w:rsidRDefault="0031727F" w:rsidP="00E964F6">
            <w:pPr>
              <w:pStyle w:val="TableText"/>
            </w:pPr>
            <w:r>
              <w:t>Rule of quality</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42.9</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48.3</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83</w:t>
            </w:r>
          </w:p>
        </w:tc>
      </w:tr>
      <w:tr w:rsidR="0031727F" w:rsidTr="00E964F6">
        <w:trPr>
          <w:jc w:val="center"/>
        </w:trPr>
        <w:tc>
          <w:tcPr>
            <w:tcW w:w="2100" w:type="pct"/>
          </w:tcPr>
          <w:p w:rsidR="0031727F" w:rsidRDefault="0031727F" w:rsidP="00E964F6">
            <w:pPr>
              <w:pStyle w:val="TableText"/>
            </w:pPr>
            <w:r>
              <w:t>Rule of law</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17.9</w:t>
            </w: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25.1</w:t>
            </w:r>
          </w:p>
        </w:tc>
        <w:tc>
          <w:tcPr>
            <w:tcW w:w="204" w:type="pct"/>
            <w:vAlign w:val="center"/>
          </w:tcPr>
          <w:p w:rsidR="0031727F" w:rsidRDefault="0031727F" w:rsidP="00E964F6">
            <w:pPr>
              <w:pStyle w:val="TableText"/>
            </w:pPr>
          </w:p>
        </w:tc>
        <w:tc>
          <w:tcPr>
            <w:tcW w:w="459" w:type="pct"/>
            <w:vAlign w:val="center"/>
          </w:tcPr>
          <w:p w:rsidR="0031727F" w:rsidRDefault="0031727F" w:rsidP="00E964F6">
            <w:pPr>
              <w:pStyle w:val="TableText"/>
            </w:pPr>
          </w:p>
        </w:tc>
        <w:tc>
          <w:tcPr>
            <w:tcW w:w="459" w:type="pct"/>
            <w:vAlign w:val="center"/>
          </w:tcPr>
          <w:p w:rsidR="0031727F" w:rsidRDefault="0031727F" w:rsidP="00E964F6">
            <w:pPr>
              <w:pStyle w:val="TableText"/>
            </w:pPr>
            <w:r>
              <w:t>74</w:t>
            </w:r>
          </w:p>
        </w:tc>
      </w:tr>
      <w:tr w:rsidR="0031727F" w:rsidTr="00E964F6">
        <w:trPr>
          <w:jc w:val="center"/>
        </w:trPr>
        <w:tc>
          <w:tcPr>
            <w:tcW w:w="2100" w:type="pct"/>
            <w:tcBorders>
              <w:top w:val="nil"/>
            </w:tcBorders>
          </w:tcPr>
          <w:p w:rsidR="0031727F" w:rsidRDefault="0031727F" w:rsidP="00E964F6">
            <w:pPr>
              <w:pStyle w:val="TableText"/>
            </w:pPr>
            <w:r>
              <w:t>Control of corruption</w:t>
            </w:r>
          </w:p>
        </w:tc>
        <w:tc>
          <w:tcPr>
            <w:tcW w:w="459" w:type="pct"/>
            <w:tcBorders>
              <w:top w:val="nil"/>
            </w:tcBorders>
            <w:vAlign w:val="center"/>
          </w:tcPr>
          <w:p w:rsidR="0031727F" w:rsidRDefault="0031727F" w:rsidP="00E964F6">
            <w:pPr>
              <w:pStyle w:val="TableText"/>
            </w:pPr>
          </w:p>
        </w:tc>
        <w:tc>
          <w:tcPr>
            <w:tcW w:w="459" w:type="pct"/>
            <w:tcBorders>
              <w:top w:val="nil"/>
            </w:tcBorders>
            <w:vAlign w:val="center"/>
          </w:tcPr>
          <w:p w:rsidR="0031727F" w:rsidRDefault="0031727F" w:rsidP="00E964F6">
            <w:pPr>
              <w:pStyle w:val="TableText"/>
            </w:pPr>
            <w:r>
              <w:t>23.5</w:t>
            </w:r>
          </w:p>
        </w:tc>
        <w:tc>
          <w:tcPr>
            <w:tcW w:w="459" w:type="pct"/>
            <w:tcBorders>
              <w:top w:val="nil"/>
            </w:tcBorders>
            <w:vAlign w:val="center"/>
          </w:tcPr>
          <w:p w:rsidR="0031727F" w:rsidRDefault="0031727F" w:rsidP="00E964F6">
            <w:pPr>
              <w:pStyle w:val="TableText"/>
            </w:pPr>
          </w:p>
        </w:tc>
        <w:tc>
          <w:tcPr>
            <w:tcW w:w="459" w:type="pct"/>
            <w:tcBorders>
              <w:top w:val="nil"/>
            </w:tcBorders>
            <w:vAlign w:val="center"/>
          </w:tcPr>
          <w:p w:rsidR="0031727F" w:rsidRDefault="0031727F" w:rsidP="00E964F6">
            <w:pPr>
              <w:pStyle w:val="TableText"/>
            </w:pPr>
            <w:r>
              <w:t>29.1</w:t>
            </w:r>
          </w:p>
        </w:tc>
        <w:tc>
          <w:tcPr>
            <w:tcW w:w="204" w:type="pct"/>
            <w:tcBorders>
              <w:top w:val="nil"/>
            </w:tcBorders>
            <w:vAlign w:val="center"/>
          </w:tcPr>
          <w:p w:rsidR="0031727F" w:rsidRDefault="0031727F" w:rsidP="00E964F6">
            <w:pPr>
              <w:pStyle w:val="TableText"/>
            </w:pPr>
          </w:p>
        </w:tc>
        <w:tc>
          <w:tcPr>
            <w:tcW w:w="459" w:type="pct"/>
            <w:tcBorders>
              <w:top w:val="nil"/>
            </w:tcBorders>
            <w:vAlign w:val="center"/>
          </w:tcPr>
          <w:p w:rsidR="0031727F" w:rsidRDefault="0031727F" w:rsidP="00E964F6">
            <w:pPr>
              <w:pStyle w:val="TableText"/>
            </w:pPr>
          </w:p>
        </w:tc>
        <w:tc>
          <w:tcPr>
            <w:tcW w:w="459" w:type="pct"/>
            <w:tcBorders>
              <w:top w:val="nil"/>
            </w:tcBorders>
            <w:vAlign w:val="center"/>
          </w:tcPr>
          <w:p w:rsidR="0031727F" w:rsidRDefault="0031727F" w:rsidP="00E964F6">
            <w:pPr>
              <w:pStyle w:val="TableText"/>
            </w:pPr>
            <w:r>
              <w:t>73</w:t>
            </w:r>
          </w:p>
        </w:tc>
      </w:tr>
    </w:tbl>
    <w:p w:rsidR="0031727F" w:rsidRDefault="0031727F" w:rsidP="0031727F">
      <w:pPr>
        <w:pStyle w:val="BodyText"/>
      </w:pPr>
    </w:p>
    <w:p w:rsidR="0031727F" w:rsidRDefault="0031727F" w:rsidP="0031727F">
      <w:pPr>
        <w:pStyle w:val="BodyText"/>
      </w:pPr>
      <w:r>
        <w:lastRenderedPageBreak/>
        <w:t xml:space="preserve">Albania has been one of the few countries to build their national development strategies around the achievement of the Millennium Development Goals. Some of the MDG indicators were included in the core set of NSSED indicators. </w:t>
      </w:r>
      <w:fldSimple w:instr=" REF _Ref104736552 \r  \* MERGEFORMAT ">
        <w:r>
          <w:t>Table 5.2</w:t>
        </w:r>
      </w:fldSimple>
      <w:r>
        <w:t xml:space="preserve"> reports on the remaining MDG indicators and the remainder of the chapter discusses whether sufficient progress is being made towards achieving the Millennium Development Goals.</w:t>
      </w:r>
    </w:p>
    <w:p w:rsidR="0031727F" w:rsidRDefault="0031727F" w:rsidP="0031727F">
      <w:pPr>
        <w:pStyle w:val="Table"/>
        <w:numPr>
          <w:ilvl w:val="4"/>
          <w:numId w:val="0"/>
        </w:numPr>
        <w:tabs>
          <w:tab w:val="num" w:pos="1008"/>
        </w:tabs>
        <w:ind w:left="1008" w:hanging="1008"/>
        <w:jc w:val="both"/>
      </w:pPr>
      <w:r>
        <w:br w:type="page"/>
      </w:r>
      <w:bookmarkStart w:id="3" w:name="_Ref104736552"/>
      <w:bookmarkStart w:id="4" w:name="_Toc109495253"/>
      <w:r>
        <w:lastRenderedPageBreak/>
        <w:t>Millennium Development Goals, selected indicators</w:t>
      </w:r>
      <w:bookmarkEnd w:id="3"/>
      <w:bookmarkEnd w:id="4"/>
    </w:p>
    <w:tbl>
      <w:tblPr>
        <w:tblW w:w="9854" w:type="dxa"/>
        <w:jc w:val="center"/>
        <w:tblBorders>
          <w:top w:val="single" w:sz="12" w:space="0" w:color="000000"/>
          <w:bottom w:val="single" w:sz="12" w:space="0" w:color="000000"/>
        </w:tblBorders>
        <w:tblLook w:val="01E0"/>
      </w:tblPr>
      <w:tblGrid>
        <w:gridCol w:w="531"/>
        <w:gridCol w:w="530"/>
        <w:gridCol w:w="5242"/>
        <w:gridCol w:w="594"/>
        <w:gridCol w:w="61"/>
        <w:gridCol w:w="629"/>
        <w:gridCol w:w="61"/>
        <w:gridCol w:w="594"/>
        <w:gridCol w:w="236"/>
        <w:gridCol w:w="688"/>
        <w:gridCol w:w="688"/>
      </w:tblGrid>
      <w:tr w:rsidR="0031727F" w:rsidTr="00E964F6">
        <w:trPr>
          <w:cantSplit/>
          <w:trHeight w:val="454"/>
          <w:jc w:val="center"/>
        </w:trPr>
        <w:tc>
          <w:tcPr>
            <w:tcW w:w="269" w:type="pct"/>
            <w:vMerge w:val="restart"/>
            <w:tcBorders>
              <w:top w:val="single" w:sz="12" w:space="0" w:color="000000"/>
              <w:bottom w:val="single" w:sz="12" w:space="0" w:color="000000"/>
            </w:tcBorders>
            <w:textDirection w:val="btLr"/>
          </w:tcPr>
          <w:p w:rsidR="0031727F" w:rsidRDefault="0031727F" w:rsidP="00E964F6">
            <w:pPr>
              <w:pStyle w:val="TableText"/>
            </w:pPr>
            <w:r>
              <w:t>Goal</w:t>
            </w:r>
          </w:p>
        </w:tc>
        <w:tc>
          <w:tcPr>
            <w:tcW w:w="269" w:type="pct"/>
            <w:vMerge w:val="restart"/>
            <w:tcBorders>
              <w:top w:val="single" w:sz="12" w:space="0" w:color="000000"/>
              <w:bottom w:val="single" w:sz="12" w:space="0" w:color="000000"/>
            </w:tcBorders>
            <w:textDirection w:val="btLr"/>
          </w:tcPr>
          <w:p w:rsidR="0031727F" w:rsidRDefault="0031727F" w:rsidP="00E964F6">
            <w:pPr>
              <w:pStyle w:val="TableText"/>
            </w:pPr>
            <w:r>
              <w:t>Target</w:t>
            </w:r>
          </w:p>
        </w:tc>
        <w:tc>
          <w:tcPr>
            <w:tcW w:w="2659" w:type="pct"/>
            <w:tcBorders>
              <w:top w:val="single" w:sz="12" w:space="0" w:color="000000"/>
              <w:bottom w:val="nil"/>
            </w:tcBorders>
          </w:tcPr>
          <w:p w:rsidR="0031727F" w:rsidRDefault="0031727F" w:rsidP="00E964F6">
            <w:pPr>
              <w:pStyle w:val="TableText"/>
            </w:pPr>
            <w:r>
              <w:t>Millennium Development Goals</w:t>
            </w:r>
          </w:p>
        </w:tc>
        <w:tc>
          <w:tcPr>
            <w:tcW w:w="332" w:type="pct"/>
            <w:gridSpan w:val="2"/>
            <w:tcBorders>
              <w:top w:val="single" w:sz="12" w:space="0" w:color="000000"/>
              <w:bottom w:val="nil"/>
            </w:tcBorders>
          </w:tcPr>
          <w:p w:rsidR="0031727F" w:rsidRDefault="0031727F" w:rsidP="00E964F6">
            <w:pPr>
              <w:pStyle w:val="TableText"/>
            </w:pPr>
          </w:p>
        </w:tc>
        <w:tc>
          <w:tcPr>
            <w:tcW w:w="319" w:type="pct"/>
            <w:tcBorders>
              <w:top w:val="single" w:sz="12" w:space="0" w:color="000000"/>
              <w:bottom w:val="nil"/>
            </w:tcBorders>
          </w:tcPr>
          <w:p w:rsidR="0031727F" w:rsidRDefault="0031727F" w:rsidP="00E964F6">
            <w:pPr>
              <w:pStyle w:val="TableText"/>
            </w:pPr>
          </w:p>
        </w:tc>
        <w:tc>
          <w:tcPr>
            <w:tcW w:w="332" w:type="pct"/>
            <w:gridSpan w:val="2"/>
            <w:tcBorders>
              <w:top w:val="single" w:sz="12" w:space="0" w:color="000000"/>
              <w:bottom w:val="nil"/>
            </w:tcBorders>
          </w:tcPr>
          <w:p w:rsidR="0031727F" w:rsidRDefault="0031727F" w:rsidP="00E964F6">
            <w:pPr>
              <w:pStyle w:val="TableText"/>
            </w:pPr>
          </w:p>
        </w:tc>
        <w:tc>
          <w:tcPr>
            <w:tcW w:w="120" w:type="pct"/>
            <w:tcBorders>
              <w:top w:val="single" w:sz="12" w:space="0" w:color="000000"/>
              <w:bottom w:val="nil"/>
            </w:tcBorders>
          </w:tcPr>
          <w:p w:rsidR="0031727F" w:rsidRDefault="0031727F" w:rsidP="00E964F6">
            <w:pPr>
              <w:pStyle w:val="TableText"/>
            </w:pPr>
          </w:p>
        </w:tc>
        <w:tc>
          <w:tcPr>
            <w:tcW w:w="349" w:type="pct"/>
            <w:tcBorders>
              <w:top w:val="single" w:sz="12" w:space="0" w:color="000000"/>
              <w:bottom w:val="nil"/>
            </w:tcBorders>
          </w:tcPr>
          <w:p w:rsidR="0031727F" w:rsidRDefault="0031727F" w:rsidP="00E964F6">
            <w:pPr>
              <w:pStyle w:val="TableText"/>
            </w:pPr>
          </w:p>
        </w:tc>
        <w:tc>
          <w:tcPr>
            <w:tcW w:w="349" w:type="pct"/>
            <w:tcBorders>
              <w:top w:val="single" w:sz="12" w:space="0" w:color="000000"/>
              <w:bottom w:val="nil"/>
            </w:tcBorders>
          </w:tcPr>
          <w:p w:rsidR="0031727F" w:rsidRDefault="0031727F" w:rsidP="00E964F6">
            <w:pPr>
              <w:pStyle w:val="TableText"/>
            </w:pPr>
          </w:p>
        </w:tc>
      </w:tr>
      <w:tr w:rsidR="0031727F" w:rsidTr="00E964F6">
        <w:trPr>
          <w:cantSplit/>
          <w:jc w:val="center"/>
        </w:trPr>
        <w:tc>
          <w:tcPr>
            <w:tcW w:w="269" w:type="pct"/>
            <w:vMerge/>
            <w:tcBorders>
              <w:bottom w:val="single" w:sz="12" w:space="0" w:color="000000"/>
            </w:tcBorders>
          </w:tcPr>
          <w:p w:rsidR="0031727F" w:rsidRDefault="0031727F" w:rsidP="00E964F6">
            <w:pPr>
              <w:pStyle w:val="TableText"/>
            </w:pPr>
          </w:p>
        </w:tc>
        <w:tc>
          <w:tcPr>
            <w:tcW w:w="269" w:type="pct"/>
            <w:vMerge/>
            <w:tcBorders>
              <w:bottom w:val="single" w:sz="12" w:space="0" w:color="000000"/>
            </w:tcBorders>
          </w:tcPr>
          <w:p w:rsidR="0031727F" w:rsidRDefault="0031727F" w:rsidP="00E964F6">
            <w:pPr>
              <w:pStyle w:val="TableText"/>
            </w:pPr>
          </w:p>
        </w:tc>
        <w:tc>
          <w:tcPr>
            <w:tcW w:w="2659" w:type="pct"/>
            <w:tcBorders>
              <w:top w:val="nil"/>
              <w:bottom w:val="single" w:sz="12" w:space="0" w:color="000000"/>
            </w:tcBorders>
          </w:tcPr>
          <w:p w:rsidR="0031727F" w:rsidRDefault="0031727F" w:rsidP="00E964F6">
            <w:pPr>
              <w:pStyle w:val="TableText"/>
            </w:pPr>
            <w:r>
              <w:t>Indicator</w:t>
            </w:r>
          </w:p>
        </w:tc>
        <w:tc>
          <w:tcPr>
            <w:tcW w:w="301" w:type="pct"/>
            <w:tcBorders>
              <w:top w:val="nil"/>
              <w:bottom w:val="single" w:sz="12" w:space="0" w:color="000000"/>
            </w:tcBorders>
          </w:tcPr>
          <w:p w:rsidR="0031727F" w:rsidRDefault="0031727F" w:rsidP="00E964F6">
            <w:pPr>
              <w:pStyle w:val="TableText"/>
            </w:pPr>
            <w:r>
              <w:t>2002</w:t>
            </w:r>
          </w:p>
        </w:tc>
        <w:tc>
          <w:tcPr>
            <w:tcW w:w="381" w:type="pct"/>
            <w:gridSpan w:val="3"/>
            <w:tcBorders>
              <w:top w:val="nil"/>
              <w:bottom w:val="single" w:sz="12" w:space="0" w:color="000000"/>
            </w:tcBorders>
          </w:tcPr>
          <w:p w:rsidR="0031727F" w:rsidRDefault="0031727F" w:rsidP="00E964F6">
            <w:pPr>
              <w:pStyle w:val="TableText"/>
            </w:pPr>
            <w:r>
              <w:t>2003</w:t>
            </w:r>
          </w:p>
        </w:tc>
        <w:tc>
          <w:tcPr>
            <w:tcW w:w="301" w:type="pct"/>
            <w:tcBorders>
              <w:top w:val="nil"/>
              <w:bottom w:val="single" w:sz="12" w:space="0" w:color="000000"/>
            </w:tcBorders>
          </w:tcPr>
          <w:p w:rsidR="0031727F" w:rsidRDefault="0031727F" w:rsidP="00E964F6">
            <w:pPr>
              <w:pStyle w:val="TableText"/>
            </w:pPr>
            <w:r>
              <w:t>2004</w:t>
            </w:r>
          </w:p>
        </w:tc>
        <w:tc>
          <w:tcPr>
            <w:tcW w:w="120" w:type="pct"/>
            <w:tcBorders>
              <w:top w:val="nil"/>
              <w:bottom w:val="single" w:sz="12" w:space="0" w:color="000000"/>
            </w:tcBorders>
          </w:tcPr>
          <w:p w:rsidR="0031727F" w:rsidRDefault="0031727F" w:rsidP="00E964F6">
            <w:pPr>
              <w:pStyle w:val="TableText"/>
            </w:pPr>
          </w:p>
        </w:tc>
        <w:tc>
          <w:tcPr>
            <w:tcW w:w="349" w:type="pct"/>
            <w:tcBorders>
              <w:top w:val="nil"/>
              <w:bottom w:val="single" w:sz="12" w:space="0" w:color="000000"/>
            </w:tcBorders>
          </w:tcPr>
          <w:p w:rsidR="0031727F" w:rsidRDefault="0031727F" w:rsidP="00E964F6">
            <w:pPr>
              <w:pStyle w:val="TableText"/>
            </w:pPr>
            <w:r>
              <w:t>2006</w:t>
            </w:r>
          </w:p>
        </w:tc>
        <w:tc>
          <w:tcPr>
            <w:tcW w:w="349" w:type="pct"/>
            <w:tcBorders>
              <w:top w:val="nil"/>
              <w:bottom w:val="single" w:sz="12" w:space="0" w:color="000000"/>
            </w:tcBorders>
          </w:tcPr>
          <w:p w:rsidR="0031727F" w:rsidRDefault="0031727F" w:rsidP="00E964F6">
            <w:pPr>
              <w:pStyle w:val="TableText"/>
            </w:pPr>
            <w:r>
              <w:t>2015*</w:t>
            </w:r>
          </w:p>
        </w:tc>
      </w:tr>
      <w:tr w:rsidR="0031727F" w:rsidTr="00E964F6">
        <w:trPr>
          <w:jc w:val="center"/>
        </w:trPr>
        <w:tc>
          <w:tcPr>
            <w:tcW w:w="269" w:type="pct"/>
            <w:vAlign w:val="center"/>
          </w:tcPr>
          <w:p w:rsidR="0031727F" w:rsidRDefault="0031727F" w:rsidP="00E964F6">
            <w:pPr>
              <w:pStyle w:val="TableText"/>
            </w:pPr>
            <w:r>
              <w:t>1</w:t>
            </w:r>
          </w:p>
        </w:tc>
        <w:tc>
          <w:tcPr>
            <w:tcW w:w="269" w:type="pct"/>
            <w:vAlign w:val="center"/>
          </w:tcPr>
          <w:p w:rsidR="0031727F" w:rsidRDefault="0031727F" w:rsidP="00E964F6">
            <w:pPr>
              <w:pStyle w:val="TableText"/>
            </w:pPr>
            <w:r>
              <w:t>1</w:t>
            </w:r>
          </w:p>
        </w:tc>
        <w:tc>
          <w:tcPr>
            <w:tcW w:w="2659" w:type="pct"/>
          </w:tcPr>
          <w:p w:rsidR="0031727F" w:rsidRDefault="0031727F" w:rsidP="00E964F6">
            <w:pPr>
              <w:pStyle w:val="TableText"/>
            </w:pPr>
            <w:r>
              <w:t>Poverty gap (incidence x depth of poverty) (%)</w:t>
            </w:r>
          </w:p>
        </w:tc>
        <w:tc>
          <w:tcPr>
            <w:tcW w:w="301" w:type="pct"/>
            <w:vAlign w:val="center"/>
          </w:tcPr>
          <w:p w:rsidR="0031727F" w:rsidRDefault="0031727F" w:rsidP="00E964F6">
            <w:pPr>
              <w:pStyle w:val="TableText"/>
            </w:pPr>
            <w:r>
              <w:t>5.7</w:t>
            </w:r>
          </w:p>
        </w:tc>
        <w:tc>
          <w:tcPr>
            <w:tcW w:w="381" w:type="pct"/>
            <w:gridSpan w:val="3"/>
            <w:vAlign w:val="center"/>
          </w:tcPr>
          <w:p w:rsidR="0031727F" w:rsidRDefault="0031727F" w:rsidP="00E964F6">
            <w:pPr>
              <w:pStyle w:val="TableText"/>
            </w:pP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t>5.0</w:t>
            </w:r>
          </w:p>
        </w:tc>
        <w:tc>
          <w:tcPr>
            <w:tcW w:w="349" w:type="pct"/>
            <w:vAlign w:val="center"/>
          </w:tcPr>
          <w:p w:rsidR="0031727F" w:rsidRDefault="0031727F" w:rsidP="00E964F6">
            <w:pPr>
              <w:pStyle w:val="TableText"/>
            </w:pPr>
            <w:r>
              <w:t>3.0</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1</w:t>
            </w:r>
          </w:p>
        </w:tc>
        <w:tc>
          <w:tcPr>
            <w:tcW w:w="2659" w:type="pct"/>
          </w:tcPr>
          <w:p w:rsidR="0031727F" w:rsidRDefault="0031727F" w:rsidP="00E964F6">
            <w:pPr>
              <w:pStyle w:val="TableText"/>
            </w:pPr>
            <w:r>
              <w:t>Share of poorest 20% in national consumption (%)</w:t>
            </w:r>
          </w:p>
        </w:tc>
        <w:tc>
          <w:tcPr>
            <w:tcW w:w="301" w:type="pct"/>
            <w:vAlign w:val="center"/>
          </w:tcPr>
          <w:p w:rsidR="0031727F" w:rsidRDefault="0031727F" w:rsidP="00E964F6">
            <w:pPr>
              <w:pStyle w:val="TableText"/>
            </w:pPr>
            <w:r>
              <w:t>12.7</w:t>
            </w:r>
          </w:p>
        </w:tc>
        <w:tc>
          <w:tcPr>
            <w:tcW w:w="381" w:type="pct"/>
            <w:gridSpan w:val="3"/>
            <w:vAlign w:val="center"/>
          </w:tcPr>
          <w:p w:rsidR="0031727F" w:rsidRDefault="0031727F" w:rsidP="00E964F6">
            <w:pPr>
              <w:pStyle w:val="TableText"/>
            </w:pP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t>11.5</w:t>
            </w:r>
          </w:p>
        </w:tc>
        <w:tc>
          <w:tcPr>
            <w:tcW w:w="349" w:type="pct"/>
            <w:vAlign w:val="center"/>
          </w:tcPr>
          <w:p w:rsidR="0031727F" w:rsidRDefault="0031727F" w:rsidP="00E964F6">
            <w:pPr>
              <w:pStyle w:val="TableText"/>
            </w:pPr>
            <w:r>
              <w:t>6.3</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2</w:t>
            </w:r>
          </w:p>
        </w:tc>
        <w:tc>
          <w:tcPr>
            <w:tcW w:w="2659" w:type="pct"/>
          </w:tcPr>
          <w:p w:rsidR="0031727F" w:rsidRDefault="0031727F" w:rsidP="00E964F6">
            <w:pPr>
              <w:pStyle w:val="TableText"/>
            </w:pPr>
            <w:r>
              <w:t>Prevalence of underweight in children under 5 years (%)</w:t>
            </w:r>
          </w:p>
        </w:tc>
        <w:tc>
          <w:tcPr>
            <w:tcW w:w="301" w:type="pct"/>
            <w:vAlign w:val="center"/>
          </w:tcPr>
          <w:p w:rsidR="0031727F" w:rsidRDefault="0031727F" w:rsidP="00E964F6">
            <w:pPr>
              <w:pStyle w:val="TableText"/>
            </w:pPr>
            <w:r>
              <w:t>14.0</w:t>
            </w:r>
          </w:p>
        </w:tc>
        <w:tc>
          <w:tcPr>
            <w:tcW w:w="381" w:type="pct"/>
            <w:gridSpan w:val="3"/>
            <w:vAlign w:val="center"/>
          </w:tcPr>
          <w:p w:rsidR="0031727F" w:rsidRDefault="0031727F" w:rsidP="00E964F6">
            <w:pPr>
              <w:pStyle w:val="TableText"/>
            </w:pP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t>12.5</w:t>
            </w:r>
          </w:p>
        </w:tc>
        <w:tc>
          <w:tcPr>
            <w:tcW w:w="349" w:type="pct"/>
            <w:vAlign w:val="center"/>
          </w:tcPr>
          <w:p w:rsidR="0031727F" w:rsidRDefault="0031727F" w:rsidP="00E964F6">
            <w:pPr>
              <w:pStyle w:val="TableText"/>
            </w:pPr>
            <w:r>
              <w:t>8.0</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3</w:t>
            </w:r>
          </w:p>
        </w:tc>
        <w:tc>
          <w:tcPr>
            <w:tcW w:w="2659" w:type="pct"/>
          </w:tcPr>
          <w:p w:rsidR="0031727F" w:rsidRDefault="0031727F" w:rsidP="00E964F6">
            <w:pPr>
              <w:pStyle w:val="TableText"/>
            </w:pPr>
            <w:r>
              <w:t>Youth unemployment rate (14-25 year olds) (%)</w:t>
            </w:r>
          </w:p>
        </w:tc>
        <w:tc>
          <w:tcPr>
            <w:tcW w:w="301" w:type="pct"/>
            <w:vAlign w:val="center"/>
          </w:tcPr>
          <w:p w:rsidR="0031727F" w:rsidRDefault="0031727F" w:rsidP="00E964F6">
            <w:pPr>
              <w:pStyle w:val="TableText"/>
            </w:pPr>
            <w:r>
              <w:t>22.8</w:t>
            </w:r>
          </w:p>
        </w:tc>
        <w:tc>
          <w:tcPr>
            <w:tcW w:w="381" w:type="pct"/>
            <w:gridSpan w:val="3"/>
            <w:vAlign w:val="center"/>
          </w:tcPr>
          <w:p w:rsidR="0031727F" w:rsidRDefault="0031727F" w:rsidP="00E964F6">
            <w:pPr>
              <w:pStyle w:val="TableText"/>
              <w:rPr>
                <w:vertAlign w:val="superscript"/>
              </w:rPr>
            </w:pPr>
            <w:r>
              <w:t>15.5</w:t>
            </w:r>
            <w:r>
              <w:rPr>
                <w:vertAlign w:val="superscript"/>
              </w:rPr>
              <w:t>3</w:t>
            </w: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t>21.0</w:t>
            </w:r>
          </w:p>
        </w:tc>
        <w:tc>
          <w:tcPr>
            <w:tcW w:w="349" w:type="pct"/>
            <w:vAlign w:val="center"/>
          </w:tcPr>
          <w:p w:rsidR="0031727F" w:rsidRDefault="0031727F" w:rsidP="00E964F6">
            <w:pPr>
              <w:pStyle w:val="TableText"/>
            </w:pPr>
            <w:r>
              <w:t>15.0</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4</w:t>
            </w:r>
          </w:p>
        </w:tc>
        <w:tc>
          <w:tcPr>
            <w:tcW w:w="2659" w:type="pct"/>
          </w:tcPr>
          <w:p w:rsidR="0031727F" w:rsidRDefault="0031727F" w:rsidP="00E964F6">
            <w:pPr>
              <w:pStyle w:val="TableText"/>
              <w:rPr>
                <w:vertAlign w:val="superscript"/>
              </w:rPr>
            </w:pPr>
            <w:r>
              <w:t xml:space="preserve">Foreign direct investment ($ </w:t>
            </w:r>
            <w:proofErr w:type="spellStart"/>
            <w:r>
              <w:t>million</w:t>
            </w:r>
            <w:proofErr w:type="spellEnd"/>
            <w:r>
              <w:t>)</w:t>
            </w:r>
            <w:r>
              <w:rPr>
                <w:vertAlign w:val="superscript"/>
              </w:rPr>
              <w:t>4</w:t>
            </w:r>
          </w:p>
        </w:tc>
        <w:tc>
          <w:tcPr>
            <w:tcW w:w="301" w:type="pct"/>
            <w:vAlign w:val="center"/>
          </w:tcPr>
          <w:p w:rsidR="0031727F" w:rsidRDefault="0031727F" w:rsidP="00E964F6">
            <w:pPr>
              <w:pStyle w:val="TableText"/>
            </w:pPr>
            <w:r>
              <w:t>153</w:t>
            </w:r>
          </w:p>
        </w:tc>
        <w:tc>
          <w:tcPr>
            <w:tcW w:w="381" w:type="pct"/>
            <w:gridSpan w:val="3"/>
            <w:vAlign w:val="center"/>
          </w:tcPr>
          <w:p w:rsidR="0031727F" w:rsidRDefault="0031727F" w:rsidP="00E964F6">
            <w:pPr>
              <w:pStyle w:val="TableText"/>
            </w:pPr>
            <w:r>
              <w:t>178</w:t>
            </w:r>
          </w:p>
        </w:tc>
        <w:tc>
          <w:tcPr>
            <w:tcW w:w="301" w:type="pct"/>
            <w:vAlign w:val="center"/>
          </w:tcPr>
          <w:p w:rsidR="0031727F" w:rsidRDefault="0031727F" w:rsidP="00E964F6">
            <w:pPr>
              <w:pStyle w:val="TableText"/>
            </w:pPr>
            <w:r>
              <w:t>341</w:t>
            </w: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t>300</w:t>
            </w:r>
          </w:p>
        </w:tc>
        <w:tc>
          <w:tcPr>
            <w:tcW w:w="349" w:type="pct"/>
            <w:vAlign w:val="center"/>
          </w:tcPr>
          <w:p w:rsidR="0031727F" w:rsidRDefault="0031727F" w:rsidP="00E964F6">
            <w:pPr>
              <w:pStyle w:val="TableText"/>
            </w:pPr>
            <w:r>
              <w:t>600</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5</w:t>
            </w:r>
          </w:p>
        </w:tc>
        <w:tc>
          <w:tcPr>
            <w:tcW w:w="2659" w:type="pct"/>
          </w:tcPr>
          <w:p w:rsidR="0031727F" w:rsidRDefault="0031727F" w:rsidP="00E964F6">
            <w:pPr>
              <w:pStyle w:val="TableText"/>
            </w:pPr>
            <w:r>
              <w:t>Fixed telephone lines per 100 inhabitants</w:t>
            </w:r>
          </w:p>
        </w:tc>
        <w:tc>
          <w:tcPr>
            <w:tcW w:w="301" w:type="pct"/>
            <w:vAlign w:val="center"/>
          </w:tcPr>
          <w:p w:rsidR="0031727F" w:rsidRDefault="0031727F" w:rsidP="00E964F6">
            <w:pPr>
              <w:pStyle w:val="TableText"/>
            </w:pPr>
            <w:r>
              <w:t>5.5</w:t>
            </w:r>
          </w:p>
        </w:tc>
        <w:tc>
          <w:tcPr>
            <w:tcW w:w="381" w:type="pct"/>
            <w:gridSpan w:val="3"/>
            <w:vAlign w:val="center"/>
          </w:tcPr>
          <w:p w:rsidR="0031727F" w:rsidRDefault="0031727F" w:rsidP="00E964F6">
            <w:pPr>
              <w:pStyle w:val="TableText"/>
            </w:pPr>
            <w:r>
              <w:t>6.1</w:t>
            </w: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t>8</w:t>
            </w:r>
          </w:p>
        </w:tc>
        <w:tc>
          <w:tcPr>
            <w:tcW w:w="349" w:type="pct"/>
            <w:vAlign w:val="center"/>
          </w:tcPr>
          <w:p w:rsidR="0031727F" w:rsidRDefault="0031727F" w:rsidP="00E964F6">
            <w:pPr>
              <w:pStyle w:val="TableText"/>
            </w:pPr>
            <w:r>
              <w:t>58</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5</w:t>
            </w:r>
          </w:p>
        </w:tc>
        <w:tc>
          <w:tcPr>
            <w:tcW w:w="2659" w:type="pct"/>
          </w:tcPr>
          <w:p w:rsidR="0031727F" w:rsidRDefault="0031727F" w:rsidP="00E964F6">
            <w:pPr>
              <w:pStyle w:val="TableText"/>
              <w:rPr>
                <w:vertAlign w:val="superscript"/>
              </w:rPr>
            </w:pPr>
            <w:r>
              <w:t>Cellular telephone subscribers per 100 inhabitants</w:t>
            </w:r>
            <w:r>
              <w:rPr>
                <w:vertAlign w:val="superscript"/>
              </w:rPr>
              <w:t>5</w:t>
            </w:r>
          </w:p>
        </w:tc>
        <w:tc>
          <w:tcPr>
            <w:tcW w:w="301" w:type="pct"/>
            <w:vAlign w:val="center"/>
          </w:tcPr>
          <w:p w:rsidR="0031727F" w:rsidRDefault="0031727F" w:rsidP="00E964F6">
            <w:pPr>
              <w:pStyle w:val="TableText"/>
            </w:pPr>
            <w:r>
              <w:t>27.1</w:t>
            </w:r>
          </w:p>
        </w:tc>
        <w:tc>
          <w:tcPr>
            <w:tcW w:w="381" w:type="pct"/>
            <w:gridSpan w:val="3"/>
            <w:vAlign w:val="center"/>
          </w:tcPr>
          <w:p w:rsidR="0031727F" w:rsidRDefault="0031727F" w:rsidP="00E964F6">
            <w:pPr>
              <w:pStyle w:val="TableText"/>
            </w:pP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78</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5</w:t>
            </w:r>
          </w:p>
        </w:tc>
        <w:tc>
          <w:tcPr>
            <w:tcW w:w="2659" w:type="pct"/>
          </w:tcPr>
          <w:p w:rsidR="0031727F" w:rsidRDefault="0031727F" w:rsidP="00E964F6">
            <w:pPr>
              <w:pStyle w:val="TableText"/>
              <w:rPr>
                <w:vertAlign w:val="superscript"/>
              </w:rPr>
            </w:pPr>
            <w:r>
              <w:t>Personal computers in use per 100 inhabitants</w:t>
            </w:r>
            <w:r>
              <w:rPr>
                <w:vertAlign w:val="superscript"/>
              </w:rPr>
              <w:t>6</w:t>
            </w:r>
          </w:p>
        </w:tc>
        <w:tc>
          <w:tcPr>
            <w:tcW w:w="301" w:type="pct"/>
            <w:vAlign w:val="center"/>
          </w:tcPr>
          <w:p w:rsidR="0031727F" w:rsidRDefault="0031727F" w:rsidP="00E964F6">
            <w:pPr>
              <w:pStyle w:val="TableText"/>
            </w:pPr>
            <w:r>
              <w:t>2.4</w:t>
            </w:r>
          </w:p>
        </w:tc>
        <w:tc>
          <w:tcPr>
            <w:tcW w:w="381" w:type="pct"/>
            <w:gridSpan w:val="3"/>
            <w:vAlign w:val="center"/>
          </w:tcPr>
          <w:p w:rsidR="0031727F" w:rsidRDefault="0031727F" w:rsidP="00E964F6">
            <w:pPr>
              <w:pStyle w:val="TableText"/>
            </w:pPr>
            <w:r>
              <w:t>4.5</w:t>
            </w: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35</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5</w:t>
            </w:r>
          </w:p>
        </w:tc>
        <w:tc>
          <w:tcPr>
            <w:tcW w:w="2659" w:type="pct"/>
          </w:tcPr>
          <w:p w:rsidR="0031727F" w:rsidRDefault="0031727F" w:rsidP="00E964F6">
            <w:pPr>
              <w:pStyle w:val="TableText"/>
              <w:rPr>
                <w:vertAlign w:val="superscript"/>
              </w:rPr>
            </w:pPr>
            <w:r>
              <w:t>Internet users per 100 inhabitants</w:t>
            </w:r>
            <w:r>
              <w:rPr>
                <w:vertAlign w:val="superscript"/>
              </w:rPr>
              <w:t>5</w:t>
            </w:r>
          </w:p>
        </w:tc>
        <w:tc>
          <w:tcPr>
            <w:tcW w:w="301" w:type="pct"/>
            <w:vAlign w:val="center"/>
          </w:tcPr>
          <w:p w:rsidR="0031727F" w:rsidRDefault="0031727F" w:rsidP="00E964F6">
            <w:pPr>
              <w:pStyle w:val="TableText"/>
            </w:pPr>
            <w:r>
              <w:t>0.2</w:t>
            </w:r>
          </w:p>
        </w:tc>
        <w:tc>
          <w:tcPr>
            <w:tcW w:w="381" w:type="pct"/>
            <w:gridSpan w:val="3"/>
            <w:vAlign w:val="center"/>
          </w:tcPr>
          <w:p w:rsidR="0031727F" w:rsidRDefault="0031727F" w:rsidP="00E964F6">
            <w:pPr>
              <w:pStyle w:val="TableText"/>
            </w:pPr>
            <w:r>
              <w:t>2.4</w:t>
            </w: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35</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6</w:t>
            </w:r>
          </w:p>
        </w:tc>
        <w:tc>
          <w:tcPr>
            <w:tcW w:w="2659" w:type="pct"/>
          </w:tcPr>
          <w:p w:rsidR="0031727F" w:rsidRDefault="0031727F" w:rsidP="00E964F6">
            <w:pPr>
              <w:pStyle w:val="TableText"/>
              <w:rPr>
                <w:vertAlign w:val="superscript"/>
              </w:rPr>
            </w:pPr>
            <w:r>
              <w:t>Power generation (</w:t>
            </w:r>
            <w:proofErr w:type="spellStart"/>
            <w:r>
              <w:t>GWh</w:t>
            </w:r>
            <w:proofErr w:type="spellEnd"/>
            <w:r>
              <w:t>)</w:t>
            </w:r>
            <w:r>
              <w:rPr>
                <w:vertAlign w:val="superscript"/>
              </w:rPr>
              <w:t>7</w:t>
            </w:r>
          </w:p>
        </w:tc>
        <w:tc>
          <w:tcPr>
            <w:tcW w:w="301" w:type="pct"/>
            <w:vAlign w:val="center"/>
          </w:tcPr>
          <w:p w:rsidR="0031727F" w:rsidRDefault="0031727F" w:rsidP="00E964F6">
            <w:pPr>
              <w:pStyle w:val="TableText"/>
            </w:pPr>
            <w:r>
              <w:t>5406</w:t>
            </w:r>
          </w:p>
        </w:tc>
        <w:tc>
          <w:tcPr>
            <w:tcW w:w="381" w:type="pct"/>
            <w:gridSpan w:val="3"/>
            <w:vAlign w:val="center"/>
          </w:tcPr>
          <w:p w:rsidR="0031727F" w:rsidRDefault="0031727F" w:rsidP="00E964F6">
            <w:pPr>
              <w:pStyle w:val="TableText"/>
            </w:pPr>
            <w:r>
              <w:t>5819</w:t>
            </w:r>
          </w:p>
        </w:tc>
        <w:tc>
          <w:tcPr>
            <w:tcW w:w="301" w:type="pct"/>
            <w:vAlign w:val="center"/>
          </w:tcPr>
          <w:p w:rsidR="0031727F" w:rsidRDefault="0031727F" w:rsidP="00E964F6">
            <w:pPr>
              <w:pStyle w:val="TableText"/>
            </w:pPr>
            <w:r>
              <w:t>5971</w:t>
            </w: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t>6765</w:t>
            </w:r>
          </w:p>
        </w:tc>
        <w:tc>
          <w:tcPr>
            <w:tcW w:w="349" w:type="pct"/>
            <w:vAlign w:val="center"/>
          </w:tcPr>
          <w:p w:rsidR="0031727F" w:rsidRDefault="0031727F" w:rsidP="00E964F6">
            <w:pPr>
              <w:pStyle w:val="TableText"/>
            </w:pPr>
            <w:r>
              <w:t>9342</w:t>
            </w:r>
          </w:p>
        </w:tc>
      </w:tr>
      <w:tr w:rsidR="0031727F" w:rsidTr="00E964F6">
        <w:trPr>
          <w:jc w:val="center"/>
        </w:trPr>
        <w:tc>
          <w:tcPr>
            <w:tcW w:w="269" w:type="pct"/>
            <w:tcBorders>
              <w:bottom w:val="single" w:sz="4" w:space="0" w:color="auto"/>
            </w:tcBorders>
            <w:vAlign w:val="center"/>
          </w:tcPr>
          <w:p w:rsidR="0031727F" w:rsidRDefault="0031727F" w:rsidP="00E964F6">
            <w:pPr>
              <w:pStyle w:val="TableText"/>
            </w:pPr>
          </w:p>
        </w:tc>
        <w:tc>
          <w:tcPr>
            <w:tcW w:w="269" w:type="pct"/>
            <w:tcBorders>
              <w:bottom w:val="single" w:sz="4" w:space="0" w:color="auto"/>
            </w:tcBorders>
            <w:vAlign w:val="center"/>
          </w:tcPr>
          <w:p w:rsidR="0031727F" w:rsidRDefault="0031727F" w:rsidP="00E964F6">
            <w:pPr>
              <w:pStyle w:val="TableText"/>
            </w:pPr>
            <w:r>
              <w:t>6</w:t>
            </w:r>
          </w:p>
        </w:tc>
        <w:tc>
          <w:tcPr>
            <w:tcW w:w="2659" w:type="pct"/>
            <w:tcBorders>
              <w:bottom w:val="single" w:sz="4" w:space="0" w:color="auto"/>
            </w:tcBorders>
          </w:tcPr>
          <w:p w:rsidR="0031727F" w:rsidRDefault="0031727F" w:rsidP="00E964F6">
            <w:pPr>
              <w:pStyle w:val="TableText"/>
            </w:pPr>
            <w:r>
              <w:t>Annual power transmission losses (%)</w:t>
            </w:r>
          </w:p>
        </w:tc>
        <w:tc>
          <w:tcPr>
            <w:tcW w:w="301" w:type="pct"/>
            <w:tcBorders>
              <w:bottom w:val="single" w:sz="4" w:space="0" w:color="auto"/>
            </w:tcBorders>
            <w:vAlign w:val="center"/>
          </w:tcPr>
          <w:p w:rsidR="0031727F" w:rsidRDefault="0031727F" w:rsidP="00E964F6">
            <w:pPr>
              <w:pStyle w:val="TableText"/>
            </w:pPr>
            <w:r>
              <w:t>4.2</w:t>
            </w:r>
          </w:p>
        </w:tc>
        <w:tc>
          <w:tcPr>
            <w:tcW w:w="381" w:type="pct"/>
            <w:gridSpan w:val="3"/>
            <w:tcBorders>
              <w:bottom w:val="single" w:sz="4" w:space="0" w:color="auto"/>
            </w:tcBorders>
            <w:vAlign w:val="center"/>
          </w:tcPr>
          <w:p w:rsidR="0031727F" w:rsidRDefault="0031727F" w:rsidP="00E964F6">
            <w:pPr>
              <w:pStyle w:val="TableText"/>
            </w:pPr>
          </w:p>
        </w:tc>
        <w:tc>
          <w:tcPr>
            <w:tcW w:w="301" w:type="pct"/>
            <w:tcBorders>
              <w:bottom w:val="single" w:sz="4" w:space="0" w:color="auto"/>
            </w:tcBorders>
            <w:vAlign w:val="center"/>
          </w:tcPr>
          <w:p w:rsidR="0031727F" w:rsidRDefault="0031727F" w:rsidP="00E964F6">
            <w:pPr>
              <w:pStyle w:val="TableText"/>
            </w:pPr>
            <w:r>
              <w:t>5.7</w:t>
            </w:r>
          </w:p>
        </w:tc>
        <w:tc>
          <w:tcPr>
            <w:tcW w:w="120" w:type="pct"/>
            <w:tcBorders>
              <w:bottom w:val="single" w:sz="4" w:space="0" w:color="auto"/>
            </w:tcBorders>
            <w:vAlign w:val="center"/>
          </w:tcPr>
          <w:p w:rsidR="0031727F" w:rsidRDefault="0031727F" w:rsidP="00E964F6">
            <w:pPr>
              <w:pStyle w:val="TableText"/>
            </w:pPr>
          </w:p>
        </w:tc>
        <w:tc>
          <w:tcPr>
            <w:tcW w:w="349" w:type="pct"/>
            <w:tcBorders>
              <w:bottom w:val="single" w:sz="4" w:space="0" w:color="auto"/>
            </w:tcBorders>
            <w:vAlign w:val="center"/>
          </w:tcPr>
          <w:p w:rsidR="0031727F" w:rsidRDefault="0031727F" w:rsidP="00E964F6">
            <w:pPr>
              <w:pStyle w:val="TableText"/>
            </w:pPr>
            <w:r>
              <w:t>2.4</w:t>
            </w:r>
          </w:p>
        </w:tc>
        <w:tc>
          <w:tcPr>
            <w:tcW w:w="349" w:type="pct"/>
            <w:tcBorders>
              <w:bottom w:val="single" w:sz="4" w:space="0" w:color="auto"/>
            </w:tcBorders>
            <w:vAlign w:val="center"/>
          </w:tcPr>
          <w:p w:rsidR="0031727F" w:rsidRDefault="0031727F" w:rsidP="00E964F6">
            <w:pPr>
              <w:pStyle w:val="TableText"/>
            </w:pPr>
            <w:r>
              <w:t>2.0</w:t>
            </w:r>
          </w:p>
        </w:tc>
      </w:tr>
      <w:tr w:rsidR="0031727F" w:rsidTr="00E964F6">
        <w:trPr>
          <w:jc w:val="center"/>
        </w:trPr>
        <w:tc>
          <w:tcPr>
            <w:tcW w:w="269" w:type="pct"/>
            <w:tcBorders>
              <w:top w:val="nil"/>
              <w:bottom w:val="nil"/>
            </w:tcBorders>
            <w:vAlign w:val="center"/>
          </w:tcPr>
          <w:p w:rsidR="0031727F" w:rsidRDefault="0031727F" w:rsidP="00E964F6">
            <w:pPr>
              <w:pStyle w:val="TableText"/>
            </w:pPr>
            <w:r>
              <w:t>2</w:t>
            </w:r>
          </w:p>
        </w:tc>
        <w:tc>
          <w:tcPr>
            <w:tcW w:w="269" w:type="pct"/>
            <w:tcBorders>
              <w:top w:val="nil"/>
              <w:bottom w:val="nil"/>
            </w:tcBorders>
            <w:vAlign w:val="center"/>
          </w:tcPr>
          <w:p w:rsidR="0031727F" w:rsidRDefault="0031727F" w:rsidP="00E964F6">
            <w:pPr>
              <w:pStyle w:val="TableText"/>
            </w:pPr>
            <w:r>
              <w:t>7</w:t>
            </w:r>
          </w:p>
        </w:tc>
        <w:tc>
          <w:tcPr>
            <w:tcW w:w="2659" w:type="pct"/>
            <w:tcBorders>
              <w:top w:val="nil"/>
              <w:bottom w:val="nil"/>
            </w:tcBorders>
          </w:tcPr>
          <w:p w:rsidR="0031727F" w:rsidRDefault="0031727F" w:rsidP="00E964F6">
            <w:pPr>
              <w:pStyle w:val="TableText"/>
              <w:rPr>
                <w:vertAlign w:val="superscript"/>
              </w:rPr>
            </w:pPr>
            <w:r>
              <w:t>Net primary education enrolment rate (%)</w:t>
            </w:r>
            <w:r>
              <w:rPr>
                <w:vertAlign w:val="superscript"/>
              </w:rPr>
              <w:t>8</w:t>
            </w:r>
          </w:p>
        </w:tc>
        <w:tc>
          <w:tcPr>
            <w:tcW w:w="301" w:type="pct"/>
            <w:tcBorders>
              <w:top w:val="nil"/>
              <w:bottom w:val="nil"/>
            </w:tcBorders>
            <w:vAlign w:val="center"/>
          </w:tcPr>
          <w:p w:rsidR="0031727F" w:rsidRDefault="0031727F" w:rsidP="00E964F6">
            <w:pPr>
              <w:pStyle w:val="TableText"/>
            </w:pPr>
            <w:r>
              <w:t>92.5</w:t>
            </w:r>
          </w:p>
        </w:tc>
        <w:tc>
          <w:tcPr>
            <w:tcW w:w="381" w:type="pct"/>
            <w:gridSpan w:val="3"/>
            <w:tcBorders>
              <w:top w:val="nil"/>
              <w:bottom w:val="nil"/>
            </w:tcBorders>
            <w:vAlign w:val="center"/>
          </w:tcPr>
          <w:p w:rsidR="0031727F" w:rsidRDefault="0031727F" w:rsidP="00E964F6">
            <w:pPr>
              <w:pStyle w:val="TableText"/>
            </w:pPr>
            <w:r>
              <w:t>94.0</w:t>
            </w:r>
          </w:p>
        </w:tc>
        <w:tc>
          <w:tcPr>
            <w:tcW w:w="301" w:type="pct"/>
            <w:tcBorders>
              <w:top w:val="nil"/>
              <w:bottom w:val="nil"/>
            </w:tcBorders>
            <w:vAlign w:val="center"/>
          </w:tcPr>
          <w:p w:rsidR="0031727F" w:rsidRDefault="0031727F" w:rsidP="00E964F6">
            <w:pPr>
              <w:pStyle w:val="TableText"/>
            </w:pP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98.5</w:t>
            </w:r>
          </w:p>
        </w:tc>
        <w:tc>
          <w:tcPr>
            <w:tcW w:w="349" w:type="pct"/>
            <w:tcBorders>
              <w:top w:val="nil"/>
              <w:bottom w:val="nil"/>
            </w:tcBorders>
            <w:vAlign w:val="center"/>
          </w:tcPr>
          <w:p w:rsidR="0031727F" w:rsidRDefault="0031727F" w:rsidP="00E964F6">
            <w:pPr>
              <w:pStyle w:val="TableText"/>
            </w:pPr>
            <w:r>
              <w:t>100</w:t>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8</w:t>
            </w:r>
          </w:p>
        </w:tc>
        <w:tc>
          <w:tcPr>
            <w:tcW w:w="2659" w:type="pct"/>
            <w:tcBorders>
              <w:top w:val="nil"/>
              <w:bottom w:val="nil"/>
            </w:tcBorders>
          </w:tcPr>
          <w:p w:rsidR="0031727F" w:rsidRDefault="0031727F" w:rsidP="00E964F6">
            <w:pPr>
              <w:pStyle w:val="TableText"/>
              <w:rPr>
                <w:vertAlign w:val="superscript"/>
              </w:rPr>
            </w:pPr>
            <w:r>
              <w:t>Primary education completion rate (%)</w:t>
            </w:r>
            <w:r>
              <w:rPr>
                <w:vertAlign w:val="superscript"/>
              </w:rPr>
              <w:t>8</w:t>
            </w:r>
          </w:p>
        </w:tc>
        <w:tc>
          <w:tcPr>
            <w:tcW w:w="301" w:type="pct"/>
            <w:tcBorders>
              <w:top w:val="nil"/>
              <w:bottom w:val="nil"/>
            </w:tcBorders>
            <w:vAlign w:val="center"/>
          </w:tcPr>
          <w:p w:rsidR="0031727F" w:rsidRDefault="0031727F" w:rsidP="00E964F6">
            <w:pPr>
              <w:pStyle w:val="TableText"/>
            </w:pPr>
            <w:r>
              <w:t>88</w:t>
            </w:r>
          </w:p>
        </w:tc>
        <w:tc>
          <w:tcPr>
            <w:tcW w:w="381" w:type="pct"/>
            <w:gridSpan w:val="3"/>
            <w:tcBorders>
              <w:top w:val="nil"/>
              <w:bottom w:val="nil"/>
            </w:tcBorders>
            <w:vAlign w:val="center"/>
          </w:tcPr>
          <w:p w:rsidR="0031727F" w:rsidRDefault="0031727F" w:rsidP="00E964F6">
            <w:pPr>
              <w:pStyle w:val="TableText"/>
            </w:pPr>
          </w:p>
        </w:tc>
        <w:tc>
          <w:tcPr>
            <w:tcW w:w="301" w:type="pct"/>
            <w:tcBorders>
              <w:top w:val="nil"/>
              <w:bottom w:val="nil"/>
            </w:tcBorders>
            <w:vAlign w:val="center"/>
          </w:tcPr>
          <w:p w:rsidR="0031727F" w:rsidRDefault="0031727F" w:rsidP="00E964F6">
            <w:pPr>
              <w:pStyle w:val="TableText"/>
            </w:pP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92</w:t>
            </w:r>
          </w:p>
        </w:tc>
        <w:tc>
          <w:tcPr>
            <w:tcW w:w="349" w:type="pct"/>
            <w:tcBorders>
              <w:top w:val="nil"/>
              <w:bottom w:val="nil"/>
            </w:tcBorders>
            <w:vAlign w:val="center"/>
          </w:tcPr>
          <w:p w:rsidR="0031727F" w:rsidRDefault="0031727F" w:rsidP="00E964F6">
            <w:pPr>
              <w:pStyle w:val="TableText"/>
            </w:pPr>
            <w:r>
              <w:t>100</w:t>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8</w:t>
            </w:r>
          </w:p>
        </w:tc>
        <w:tc>
          <w:tcPr>
            <w:tcW w:w="2659" w:type="pct"/>
            <w:tcBorders>
              <w:top w:val="nil"/>
              <w:bottom w:val="nil"/>
            </w:tcBorders>
          </w:tcPr>
          <w:p w:rsidR="0031727F" w:rsidRDefault="0031727F" w:rsidP="00E964F6">
            <w:pPr>
              <w:pStyle w:val="TableText"/>
              <w:rPr>
                <w:vertAlign w:val="superscript"/>
              </w:rPr>
            </w:pPr>
            <w:r>
              <w:t>Primary education dropout rate (%)</w:t>
            </w:r>
            <w:r>
              <w:rPr>
                <w:vertAlign w:val="superscript"/>
              </w:rPr>
              <w:t>8</w:t>
            </w:r>
          </w:p>
        </w:tc>
        <w:tc>
          <w:tcPr>
            <w:tcW w:w="301" w:type="pct"/>
            <w:tcBorders>
              <w:top w:val="nil"/>
              <w:bottom w:val="nil"/>
            </w:tcBorders>
            <w:vAlign w:val="center"/>
          </w:tcPr>
          <w:p w:rsidR="0031727F" w:rsidRDefault="0031727F" w:rsidP="00E964F6">
            <w:pPr>
              <w:pStyle w:val="TableText"/>
            </w:pPr>
            <w:r>
              <w:t>2.0</w:t>
            </w:r>
          </w:p>
        </w:tc>
        <w:tc>
          <w:tcPr>
            <w:tcW w:w="381" w:type="pct"/>
            <w:gridSpan w:val="3"/>
            <w:tcBorders>
              <w:top w:val="nil"/>
              <w:bottom w:val="nil"/>
            </w:tcBorders>
            <w:vAlign w:val="center"/>
          </w:tcPr>
          <w:p w:rsidR="0031727F" w:rsidRDefault="0031727F" w:rsidP="00E964F6">
            <w:pPr>
              <w:pStyle w:val="TableText"/>
            </w:pPr>
            <w:r>
              <w:t>2.0</w:t>
            </w:r>
          </w:p>
        </w:tc>
        <w:tc>
          <w:tcPr>
            <w:tcW w:w="301" w:type="pct"/>
            <w:tcBorders>
              <w:top w:val="nil"/>
              <w:bottom w:val="nil"/>
            </w:tcBorders>
            <w:vAlign w:val="center"/>
          </w:tcPr>
          <w:p w:rsidR="0031727F" w:rsidRDefault="0031727F" w:rsidP="00E964F6">
            <w:pPr>
              <w:pStyle w:val="TableText"/>
            </w:pP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1.7</w:t>
            </w:r>
          </w:p>
        </w:tc>
        <w:tc>
          <w:tcPr>
            <w:tcW w:w="349" w:type="pct"/>
            <w:tcBorders>
              <w:top w:val="nil"/>
              <w:bottom w:val="nil"/>
            </w:tcBorders>
            <w:vAlign w:val="center"/>
          </w:tcPr>
          <w:p w:rsidR="0031727F" w:rsidRDefault="0031727F" w:rsidP="00E964F6">
            <w:pPr>
              <w:pStyle w:val="TableText"/>
            </w:pPr>
            <w:r>
              <w:t>0</w:t>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9</w:t>
            </w:r>
          </w:p>
        </w:tc>
        <w:tc>
          <w:tcPr>
            <w:tcW w:w="2659" w:type="pct"/>
            <w:tcBorders>
              <w:top w:val="nil"/>
              <w:bottom w:val="nil"/>
            </w:tcBorders>
          </w:tcPr>
          <w:p w:rsidR="0031727F" w:rsidRDefault="0031727F" w:rsidP="00E964F6">
            <w:pPr>
              <w:pStyle w:val="TableText"/>
            </w:pPr>
            <w:r>
              <w:t>Share of education budget allocated to primary education (%)</w:t>
            </w:r>
          </w:p>
        </w:tc>
        <w:tc>
          <w:tcPr>
            <w:tcW w:w="301" w:type="pct"/>
            <w:tcBorders>
              <w:top w:val="nil"/>
              <w:bottom w:val="nil"/>
            </w:tcBorders>
            <w:vAlign w:val="center"/>
          </w:tcPr>
          <w:p w:rsidR="0031727F" w:rsidRDefault="0031727F" w:rsidP="00E964F6">
            <w:pPr>
              <w:pStyle w:val="TableText"/>
            </w:pPr>
            <w:r>
              <w:t>23</w:t>
            </w:r>
          </w:p>
        </w:tc>
        <w:tc>
          <w:tcPr>
            <w:tcW w:w="381" w:type="pct"/>
            <w:gridSpan w:val="3"/>
            <w:tcBorders>
              <w:top w:val="nil"/>
              <w:bottom w:val="nil"/>
            </w:tcBorders>
            <w:vAlign w:val="center"/>
          </w:tcPr>
          <w:p w:rsidR="0031727F" w:rsidRDefault="0031727F" w:rsidP="00E964F6">
            <w:pPr>
              <w:pStyle w:val="TableText"/>
            </w:pPr>
          </w:p>
        </w:tc>
        <w:tc>
          <w:tcPr>
            <w:tcW w:w="301" w:type="pct"/>
            <w:tcBorders>
              <w:top w:val="nil"/>
              <w:bottom w:val="nil"/>
            </w:tcBorders>
            <w:vAlign w:val="center"/>
          </w:tcPr>
          <w:p w:rsidR="0031727F" w:rsidRDefault="0031727F" w:rsidP="00E964F6">
            <w:pPr>
              <w:pStyle w:val="TableText"/>
            </w:pP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sym w:font="Symbol" w:char="F02D"/>
            </w:r>
          </w:p>
        </w:tc>
        <w:tc>
          <w:tcPr>
            <w:tcW w:w="349" w:type="pct"/>
            <w:tcBorders>
              <w:top w:val="nil"/>
              <w:bottom w:val="nil"/>
            </w:tcBorders>
            <w:vAlign w:val="center"/>
          </w:tcPr>
          <w:p w:rsidR="0031727F" w:rsidRDefault="0031727F" w:rsidP="00E964F6">
            <w:pPr>
              <w:pStyle w:val="TableText"/>
            </w:pPr>
            <w:r>
              <w:sym w:font="Symbol" w:char="F02D"/>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9</w:t>
            </w:r>
          </w:p>
        </w:tc>
        <w:tc>
          <w:tcPr>
            <w:tcW w:w="2659" w:type="pct"/>
            <w:tcBorders>
              <w:top w:val="nil"/>
              <w:bottom w:val="nil"/>
            </w:tcBorders>
          </w:tcPr>
          <w:p w:rsidR="0031727F" w:rsidRDefault="0031727F" w:rsidP="00E964F6">
            <w:pPr>
              <w:pStyle w:val="TableText"/>
            </w:pPr>
            <w:r>
              <w:tab/>
              <w:t>Relative to share allocated to secondary education</w:t>
            </w:r>
          </w:p>
        </w:tc>
        <w:tc>
          <w:tcPr>
            <w:tcW w:w="301" w:type="pct"/>
            <w:tcBorders>
              <w:top w:val="nil"/>
              <w:bottom w:val="nil"/>
            </w:tcBorders>
            <w:vAlign w:val="center"/>
          </w:tcPr>
          <w:p w:rsidR="0031727F" w:rsidRDefault="0031727F" w:rsidP="00E964F6">
            <w:pPr>
              <w:pStyle w:val="TableText"/>
            </w:pPr>
            <w:r>
              <w:t>0.40</w:t>
            </w:r>
          </w:p>
        </w:tc>
        <w:tc>
          <w:tcPr>
            <w:tcW w:w="381" w:type="pct"/>
            <w:gridSpan w:val="3"/>
            <w:tcBorders>
              <w:top w:val="nil"/>
              <w:bottom w:val="nil"/>
            </w:tcBorders>
            <w:vAlign w:val="center"/>
          </w:tcPr>
          <w:p w:rsidR="0031727F" w:rsidRDefault="0031727F" w:rsidP="00E964F6">
            <w:pPr>
              <w:pStyle w:val="TableText"/>
            </w:pPr>
          </w:p>
        </w:tc>
        <w:tc>
          <w:tcPr>
            <w:tcW w:w="301" w:type="pct"/>
            <w:tcBorders>
              <w:top w:val="nil"/>
              <w:bottom w:val="nil"/>
            </w:tcBorders>
            <w:vAlign w:val="center"/>
          </w:tcPr>
          <w:p w:rsidR="0031727F" w:rsidRDefault="0031727F" w:rsidP="00E964F6">
            <w:pPr>
              <w:pStyle w:val="TableText"/>
            </w:pP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sym w:font="Symbol" w:char="F02D"/>
            </w:r>
          </w:p>
        </w:tc>
        <w:tc>
          <w:tcPr>
            <w:tcW w:w="349" w:type="pct"/>
            <w:tcBorders>
              <w:top w:val="nil"/>
              <w:bottom w:val="nil"/>
            </w:tcBorders>
            <w:vAlign w:val="center"/>
          </w:tcPr>
          <w:p w:rsidR="0031727F" w:rsidRDefault="0031727F" w:rsidP="00E964F6">
            <w:pPr>
              <w:pStyle w:val="TableText"/>
            </w:pPr>
            <w:r>
              <w:sym w:font="Symbol" w:char="F02D"/>
            </w:r>
          </w:p>
        </w:tc>
      </w:tr>
      <w:tr w:rsidR="0031727F" w:rsidTr="00E964F6">
        <w:trPr>
          <w:jc w:val="center"/>
        </w:trPr>
        <w:tc>
          <w:tcPr>
            <w:tcW w:w="269" w:type="pct"/>
            <w:tcBorders>
              <w:top w:val="nil"/>
              <w:bottom w:val="single" w:sz="4" w:space="0" w:color="auto"/>
            </w:tcBorders>
            <w:vAlign w:val="center"/>
          </w:tcPr>
          <w:p w:rsidR="0031727F" w:rsidRDefault="0031727F" w:rsidP="00E964F6">
            <w:pPr>
              <w:pStyle w:val="TableText"/>
            </w:pPr>
          </w:p>
        </w:tc>
        <w:tc>
          <w:tcPr>
            <w:tcW w:w="269" w:type="pct"/>
            <w:tcBorders>
              <w:top w:val="nil"/>
              <w:bottom w:val="single" w:sz="4" w:space="0" w:color="auto"/>
            </w:tcBorders>
            <w:vAlign w:val="center"/>
          </w:tcPr>
          <w:p w:rsidR="0031727F" w:rsidRDefault="0031727F" w:rsidP="00E964F6">
            <w:pPr>
              <w:pStyle w:val="TableText"/>
            </w:pPr>
            <w:r>
              <w:t>9</w:t>
            </w:r>
          </w:p>
        </w:tc>
        <w:tc>
          <w:tcPr>
            <w:tcW w:w="2659" w:type="pct"/>
            <w:tcBorders>
              <w:top w:val="nil"/>
              <w:bottom w:val="single" w:sz="4" w:space="0" w:color="auto"/>
            </w:tcBorders>
          </w:tcPr>
          <w:p w:rsidR="0031727F" w:rsidRDefault="0031727F" w:rsidP="00E964F6">
            <w:pPr>
              <w:pStyle w:val="TableText"/>
            </w:pPr>
            <w:r>
              <w:tab/>
              <w:t>Relative to share allocated to tertiary education</w:t>
            </w:r>
          </w:p>
        </w:tc>
        <w:tc>
          <w:tcPr>
            <w:tcW w:w="301" w:type="pct"/>
            <w:tcBorders>
              <w:top w:val="nil"/>
              <w:bottom w:val="single" w:sz="4" w:space="0" w:color="auto"/>
            </w:tcBorders>
            <w:vAlign w:val="center"/>
          </w:tcPr>
          <w:p w:rsidR="0031727F" w:rsidRDefault="0031727F" w:rsidP="00E964F6">
            <w:pPr>
              <w:pStyle w:val="TableText"/>
            </w:pPr>
            <w:r>
              <w:t>1.65</w:t>
            </w:r>
          </w:p>
        </w:tc>
        <w:tc>
          <w:tcPr>
            <w:tcW w:w="381" w:type="pct"/>
            <w:gridSpan w:val="3"/>
            <w:tcBorders>
              <w:top w:val="nil"/>
              <w:bottom w:val="single" w:sz="4" w:space="0" w:color="auto"/>
            </w:tcBorders>
            <w:vAlign w:val="center"/>
          </w:tcPr>
          <w:p w:rsidR="0031727F" w:rsidRDefault="0031727F" w:rsidP="00E964F6">
            <w:pPr>
              <w:pStyle w:val="TableText"/>
            </w:pPr>
          </w:p>
        </w:tc>
        <w:tc>
          <w:tcPr>
            <w:tcW w:w="301" w:type="pct"/>
            <w:tcBorders>
              <w:top w:val="nil"/>
              <w:bottom w:val="single" w:sz="4" w:space="0" w:color="auto"/>
            </w:tcBorders>
            <w:vAlign w:val="center"/>
          </w:tcPr>
          <w:p w:rsidR="0031727F" w:rsidRDefault="0031727F" w:rsidP="00E964F6">
            <w:pPr>
              <w:pStyle w:val="TableText"/>
            </w:pPr>
          </w:p>
        </w:tc>
        <w:tc>
          <w:tcPr>
            <w:tcW w:w="120" w:type="pct"/>
            <w:tcBorders>
              <w:top w:val="nil"/>
              <w:bottom w:val="single" w:sz="4" w:space="0" w:color="auto"/>
            </w:tcBorders>
            <w:vAlign w:val="center"/>
          </w:tcPr>
          <w:p w:rsidR="0031727F" w:rsidRDefault="0031727F" w:rsidP="00E964F6">
            <w:pPr>
              <w:pStyle w:val="TableText"/>
            </w:pPr>
          </w:p>
        </w:tc>
        <w:tc>
          <w:tcPr>
            <w:tcW w:w="349" w:type="pct"/>
            <w:tcBorders>
              <w:top w:val="nil"/>
              <w:bottom w:val="single" w:sz="4" w:space="0" w:color="auto"/>
            </w:tcBorders>
            <w:vAlign w:val="center"/>
          </w:tcPr>
          <w:p w:rsidR="0031727F" w:rsidRDefault="0031727F" w:rsidP="00E964F6">
            <w:pPr>
              <w:pStyle w:val="TableText"/>
            </w:pPr>
            <w:r>
              <w:sym w:font="Symbol" w:char="F02D"/>
            </w:r>
          </w:p>
        </w:tc>
        <w:tc>
          <w:tcPr>
            <w:tcW w:w="349" w:type="pct"/>
            <w:tcBorders>
              <w:top w:val="nil"/>
              <w:bottom w:val="single" w:sz="4" w:space="0" w:color="auto"/>
            </w:tcBorders>
            <w:vAlign w:val="center"/>
          </w:tcPr>
          <w:p w:rsidR="0031727F" w:rsidRDefault="0031727F" w:rsidP="00E964F6">
            <w:pPr>
              <w:pStyle w:val="TableText"/>
            </w:pPr>
            <w:r>
              <w:sym w:font="Symbol" w:char="F02D"/>
            </w:r>
          </w:p>
        </w:tc>
      </w:tr>
      <w:tr w:rsidR="0031727F" w:rsidTr="00E964F6">
        <w:trPr>
          <w:jc w:val="center"/>
        </w:trPr>
        <w:tc>
          <w:tcPr>
            <w:tcW w:w="269" w:type="pct"/>
            <w:vAlign w:val="center"/>
          </w:tcPr>
          <w:p w:rsidR="0031727F" w:rsidRDefault="0031727F" w:rsidP="00E964F6">
            <w:pPr>
              <w:pStyle w:val="TableText"/>
            </w:pPr>
            <w:r>
              <w:t>3</w:t>
            </w:r>
          </w:p>
        </w:tc>
        <w:tc>
          <w:tcPr>
            <w:tcW w:w="269" w:type="pct"/>
            <w:vAlign w:val="center"/>
          </w:tcPr>
          <w:p w:rsidR="0031727F" w:rsidRDefault="0031727F" w:rsidP="00E964F6">
            <w:pPr>
              <w:pStyle w:val="TableText"/>
            </w:pPr>
            <w:r>
              <w:t>10</w:t>
            </w:r>
          </w:p>
        </w:tc>
        <w:tc>
          <w:tcPr>
            <w:tcW w:w="2659" w:type="pct"/>
          </w:tcPr>
          <w:p w:rsidR="0031727F" w:rsidRDefault="0031727F" w:rsidP="00E964F6">
            <w:pPr>
              <w:pStyle w:val="TableText"/>
            </w:pPr>
            <w:r>
              <w:t>Ratio of girls to boys in primary education</w:t>
            </w:r>
          </w:p>
        </w:tc>
        <w:tc>
          <w:tcPr>
            <w:tcW w:w="301" w:type="pct"/>
            <w:vAlign w:val="center"/>
          </w:tcPr>
          <w:p w:rsidR="0031727F" w:rsidRDefault="0031727F" w:rsidP="00E964F6">
            <w:pPr>
              <w:pStyle w:val="TableText"/>
            </w:pPr>
          </w:p>
        </w:tc>
        <w:tc>
          <w:tcPr>
            <w:tcW w:w="381" w:type="pct"/>
            <w:gridSpan w:val="3"/>
            <w:vAlign w:val="center"/>
          </w:tcPr>
          <w:p w:rsidR="0031727F" w:rsidRDefault="0031727F" w:rsidP="00E964F6">
            <w:pPr>
              <w:pStyle w:val="TableText"/>
            </w:pPr>
            <w:r>
              <w:t>0.94</w:t>
            </w:r>
          </w:p>
        </w:tc>
        <w:tc>
          <w:tcPr>
            <w:tcW w:w="301" w:type="pct"/>
            <w:vAlign w:val="center"/>
          </w:tcPr>
          <w:p w:rsidR="0031727F" w:rsidRDefault="0031727F" w:rsidP="00E964F6">
            <w:pPr>
              <w:pStyle w:val="TableText"/>
            </w:pPr>
            <w:r>
              <w:t>0.93</w:t>
            </w: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1</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10</w:t>
            </w:r>
          </w:p>
        </w:tc>
        <w:tc>
          <w:tcPr>
            <w:tcW w:w="2659" w:type="pct"/>
          </w:tcPr>
          <w:p w:rsidR="0031727F" w:rsidRDefault="0031727F" w:rsidP="00E964F6">
            <w:pPr>
              <w:pStyle w:val="TableText"/>
            </w:pPr>
            <w:r>
              <w:t>Ratio of girls to boys in secondary education</w:t>
            </w:r>
          </w:p>
        </w:tc>
        <w:tc>
          <w:tcPr>
            <w:tcW w:w="301" w:type="pct"/>
            <w:vAlign w:val="center"/>
          </w:tcPr>
          <w:p w:rsidR="0031727F" w:rsidRDefault="0031727F" w:rsidP="00E964F6">
            <w:pPr>
              <w:pStyle w:val="TableText"/>
            </w:pPr>
          </w:p>
        </w:tc>
        <w:tc>
          <w:tcPr>
            <w:tcW w:w="381" w:type="pct"/>
            <w:gridSpan w:val="3"/>
            <w:vAlign w:val="center"/>
          </w:tcPr>
          <w:p w:rsidR="0031727F" w:rsidRDefault="0031727F" w:rsidP="00E964F6">
            <w:pPr>
              <w:pStyle w:val="TableText"/>
            </w:pPr>
            <w:r>
              <w:t>0.92</w:t>
            </w:r>
          </w:p>
        </w:tc>
        <w:tc>
          <w:tcPr>
            <w:tcW w:w="301" w:type="pct"/>
            <w:vAlign w:val="center"/>
          </w:tcPr>
          <w:p w:rsidR="0031727F" w:rsidRDefault="0031727F" w:rsidP="00E964F6">
            <w:pPr>
              <w:pStyle w:val="TableText"/>
            </w:pPr>
            <w:r>
              <w:t>0.94</w:t>
            </w: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1</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10</w:t>
            </w:r>
          </w:p>
        </w:tc>
        <w:tc>
          <w:tcPr>
            <w:tcW w:w="2659" w:type="pct"/>
          </w:tcPr>
          <w:p w:rsidR="0031727F" w:rsidRDefault="0031727F" w:rsidP="00E964F6">
            <w:pPr>
              <w:pStyle w:val="TableText"/>
            </w:pPr>
            <w:r>
              <w:t>Ratio of girls to boys in tertiary education</w:t>
            </w:r>
          </w:p>
        </w:tc>
        <w:tc>
          <w:tcPr>
            <w:tcW w:w="301" w:type="pct"/>
            <w:vAlign w:val="center"/>
          </w:tcPr>
          <w:p w:rsidR="0031727F" w:rsidRDefault="0031727F" w:rsidP="00E964F6">
            <w:pPr>
              <w:pStyle w:val="TableText"/>
            </w:pPr>
          </w:p>
        </w:tc>
        <w:tc>
          <w:tcPr>
            <w:tcW w:w="381" w:type="pct"/>
            <w:gridSpan w:val="3"/>
            <w:vAlign w:val="center"/>
          </w:tcPr>
          <w:p w:rsidR="0031727F" w:rsidRDefault="0031727F" w:rsidP="00E964F6">
            <w:pPr>
              <w:pStyle w:val="TableText"/>
            </w:pPr>
            <w:r>
              <w:t>1.65</w:t>
            </w:r>
          </w:p>
        </w:tc>
        <w:tc>
          <w:tcPr>
            <w:tcW w:w="301" w:type="pct"/>
            <w:vAlign w:val="center"/>
          </w:tcPr>
          <w:p w:rsidR="0031727F" w:rsidRDefault="0031727F" w:rsidP="00E964F6">
            <w:pPr>
              <w:pStyle w:val="TableText"/>
            </w:pPr>
            <w:r>
              <w:t>1.67</w:t>
            </w: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1</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11</w:t>
            </w:r>
          </w:p>
        </w:tc>
        <w:tc>
          <w:tcPr>
            <w:tcW w:w="2659" w:type="pct"/>
          </w:tcPr>
          <w:p w:rsidR="0031727F" w:rsidRDefault="0031727F" w:rsidP="00E964F6">
            <w:pPr>
              <w:pStyle w:val="TableText"/>
              <w:rPr>
                <w:vertAlign w:val="superscript"/>
              </w:rPr>
            </w:pPr>
            <w:r>
              <w:t>Proportion of seats held by women in national parliament</w:t>
            </w:r>
            <w:r>
              <w:rPr>
                <w:vertAlign w:val="superscript"/>
              </w:rPr>
              <w:t>9</w:t>
            </w:r>
          </w:p>
        </w:tc>
        <w:tc>
          <w:tcPr>
            <w:tcW w:w="301" w:type="pct"/>
            <w:vAlign w:val="center"/>
          </w:tcPr>
          <w:p w:rsidR="0031727F" w:rsidRDefault="0031727F" w:rsidP="00E964F6">
            <w:pPr>
              <w:pStyle w:val="TableText"/>
            </w:pPr>
            <w:r>
              <w:t>6</w:t>
            </w:r>
          </w:p>
        </w:tc>
        <w:tc>
          <w:tcPr>
            <w:tcW w:w="381" w:type="pct"/>
            <w:gridSpan w:val="3"/>
            <w:vAlign w:val="center"/>
          </w:tcPr>
          <w:p w:rsidR="0031727F" w:rsidRDefault="0031727F" w:rsidP="00E964F6">
            <w:pPr>
              <w:pStyle w:val="TableText"/>
            </w:pPr>
            <w:r>
              <w:t>6</w:t>
            </w:r>
          </w:p>
        </w:tc>
        <w:tc>
          <w:tcPr>
            <w:tcW w:w="301" w:type="pct"/>
            <w:vAlign w:val="center"/>
          </w:tcPr>
          <w:p w:rsidR="0031727F" w:rsidRDefault="0031727F" w:rsidP="00E964F6">
            <w:pPr>
              <w:pStyle w:val="TableText"/>
            </w:pPr>
            <w:r>
              <w:t>6</w:t>
            </w: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30</w:t>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11</w:t>
            </w:r>
          </w:p>
        </w:tc>
        <w:tc>
          <w:tcPr>
            <w:tcW w:w="2659" w:type="pct"/>
          </w:tcPr>
          <w:p w:rsidR="0031727F" w:rsidRDefault="0031727F" w:rsidP="00E964F6">
            <w:pPr>
              <w:pStyle w:val="TableText"/>
              <w:rPr>
                <w:vertAlign w:val="superscript"/>
              </w:rPr>
            </w:pPr>
            <w:r>
              <w:t>Proportion of women appointed as prefects</w:t>
            </w:r>
            <w:r>
              <w:rPr>
                <w:vertAlign w:val="superscript"/>
              </w:rPr>
              <w:t>9</w:t>
            </w:r>
          </w:p>
        </w:tc>
        <w:tc>
          <w:tcPr>
            <w:tcW w:w="301" w:type="pct"/>
            <w:vAlign w:val="center"/>
          </w:tcPr>
          <w:p w:rsidR="0031727F" w:rsidRDefault="0031727F" w:rsidP="00E964F6">
            <w:pPr>
              <w:pStyle w:val="TableText"/>
            </w:pPr>
            <w:r>
              <w:t>17</w:t>
            </w:r>
          </w:p>
        </w:tc>
        <w:tc>
          <w:tcPr>
            <w:tcW w:w="381" w:type="pct"/>
            <w:gridSpan w:val="3"/>
            <w:vAlign w:val="center"/>
          </w:tcPr>
          <w:p w:rsidR="0031727F" w:rsidRDefault="0031727F" w:rsidP="00E964F6">
            <w:pPr>
              <w:pStyle w:val="TableText"/>
            </w:pPr>
            <w:r>
              <w:t>25</w:t>
            </w:r>
          </w:p>
        </w:tc>
        <w:tc>
          <w:tcPr>
            <w:tcW w:w="301" w:type="pct"/>
            <w:vAlign w:val="center"/>
          </w:tcPr>
          <w:p w:rsidR="0031727F" w:rsidRDefault="0031727F" w:rsidP="00E964F6">
            <w:pPr>
              <w:pStyle w:val="TableText"/>
            </w:pPr>
            <w:r>
              <w:t>25</w:t>
            </w: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30</w:t>
            </w:r>
          </w:p>
        </w:tc>
      </w:tr>
      <w:tr w:rsidR="0031727F" w:rsidTr="00E964F6">
        <w:trPr>
          <w:jc w:val="center"/>
        </w:trPr>
        <w:tc>
          <w:tcPr>
            <w:tcW w:w="269" w:type="pct"/>
            <w:tcBorders>
              <w:bottom w:val="single" w:sz="4" w:space="0" w:color="auto"/>
            </w:tcBorders>
            <w:vAlign w:val="center"/>
          </w:tcPr>
          <w:p w:rsidR="0031727F" w:rsidRDefault="0031727F" w:rsidP="00E964F6">
            <w:pPr>
              <w:pStyle w:val="TableText"/>
            </w:pPr>
          </w:p>
        </w:tc>
        <w:tc>
          <w:tcPr>
            <w:tcW w:w="269" w:type="pct"/>
            <w:tcBorders>
              <w:bottom w:val="single" w:sz="4" w:space="0" w:color="auto"/>
            </w:tcBorders>
            <w:vAlign w:val="center"/>
          </w:tcPr>
          <w:p w:rsidR="0031727F" w:rsidRDefault="0031727F" w:rsidP="00E964F6">
            <w:pPr>
              <w:pStyle w:val="TableText"/>
            </w:pPr>
            <w:r>
              <w:t>11</w:t>
            </w:r>
          </w:p>
        </w:tc>
        <w:tc>
          <w:tcPr>
            <w:tcW w:w="2659" w:type="pct"/>
            <w:tcBorders>
              <w:bottom w:val="single" w:sz="4" w:space="0" w:color="auto"/>
            </w:tcBorders>
          </w:tcPr>
          <w:p w:rsidR="0031727F" w:rsidRDefault="0031727F" w:rsidP="00E964F6">
            <w:pPr>
              <w:pStyle w:val="TableText"/>
            </w:pPr>
            <w:r>
              <w:t>Share of women in non-agricultural wage employment (%)</w:t>
            </w:r>
          </w:p>
        </w:tc>
        <w:tc>
          <w:tcPr>
            <w:tcW w:w="301" w:type="pct"/>
            <w:tcBorders>
              <w:bottom w:val="single" w:sz="4" w:space="0" w:color="auto"/>
            </w:tcBorders>
            <w:vAlign w:val="center"/>
          </w:tcPr>
          <w:p w:rsidR="0031727F" w:rsidRDefault="0031727F" w:rsidP="00E964F6">
            <w:pPr>
              <w:pStyle w:val="TableText"/>
              <w:rPr>
                <w:vertAlign w:val="superscript"/>
              </w:rPr>
            </w:pPr>
            <w:r>
              <w:t>25</w:t>
            </w:r>
            <w:r>
              <w:rPr>
                <w:vertAlign w:val="superscript"/>
              </w:rPr>
              <w:t>2</w:t>
            </w:r>
          </w:p>
        </w:tc>
        <w:tc>
          <w:tcPr>
            <w:tcW w:w="381" w:type="pct"/>
            <w:gridSpan w:val="3"/>
            <w:tcBorders>
              <w:bottom w:val="single" w:sz="4" w:space="0" w:color="auto"/>
            </w:tcBorders>
            <w:vAlign w:val="center"/>
          </w:tcPr>
          <w:p w:rsidR="0031727F" w:rsidRDefault="0031727F" w:rsidP="00E964F6">
            <w:pPr>
              <w:pStyle w:val="TableText"/>
            </w:pPr>
          </w:p>
        </w:tc>
        <w:tc>
          <w:tcPr>
            <w:tcW w:w="301" w:type="pct"/>
            <w:tcBorders>
              <w:bottom w:val="single" w:sz="4" w:space="0" w:color="auto"/>
            </w:tcBorders>
            <w:vAlign w:val="center"/>
          </w:tcPr>
          <w:p w:rsidR="0031727F" w:rsidRDefault="0031727F" w:rsidP="00E964F6">
            <w:pPr>
              <w:pStyle w:val="TableText"/>
            </w:pPr>
          </w:p>
        </w:tc>
        <w:tc>
          <w:tcPr>
            <w:tcW w:w="120" w:type="pct"/>
            <w:tcBorders>
              <w:bottom w:val="single" w:sz="4" w:space="0" w:color="auto"/>
            </w:tcBorders>
            <w:vAlign w:val="center"/>
          </w:tcPr>
          <w:p w:rsidR="0031727F" w:rsidRDefault="0031727F" w:rsidP="00E964F6">
            <w:pPr>
              <w:pStyle w:val="TableText"/>
            </w:pPr>
          </w:p>
        </w:tc>
        <w:tc>
          <w:tcPr>
            <w:tcW w:w="349" w:type="pct"/>
            <w:tcBorders>
              <w:bottom w:val="single" w:sz="4" w:space="0" w:color="auto"/>
            </w:tcBorders>
            <w:vAlign w:val="center"/>
          </w:tcPr>
          <w:p w:rsidR="0031727F" w:rsidRDefault="0031727F" w:rsidP="00E964F6">
            <w:pPr>
              <w:pStyle w:val="TableText"/>
            </w:pPr>
            <w:r>
              <w:sym w:font="Symbol" w:char="F02D"/>
            </w:r>
          </w:p>
        </w:tc>
        <w:tc>
          <w:tcPr>
            <w:tcW w:w="349" w:type="pct"/>
            <w:tcBorders>
              <w:bottom w:val="single" w:sz="4" w:space="0" w:color="auto"/>
            </w:tcBorders>
            <w:vAlign w:val="center"/>
          </w:tcPr>
          <w:p w:rsidR="0031727F" w:rsidRDefault="0031727F" w:rsidP="00E964F6">
            <w:pPr>
              <w:pStyle w:val="TableText"/>
            </w:pPr>
            <w:r>
              <w:t>50</w:t>
            </w:r>
          </w:p>
        </w:tc>
      </w:tr>
      <w:tr w:rsidR="0031727F" w:rsidTr="00E964F6">
        <w:trPr>
          <w:jc w:val="center"/>
        </w:trPr>
        <w:tc>
          <w:tcPr>
            <w:tcW w:w="269" w:type="pct"/>
            <w:tcBorders>
              <w:top w:val="nil"/>
              <w:bottom w:val="nil"/>
            </w:tcBorders>
            <w:vAlign w:val="center"/>
          </w:tcPr>
          <w:p w:rsidR="0031727F" w:rsidRDefault="0031727F" w:rsidP="00E964F6">
            <w:pPr>
              <w:pStyle w:val="TableText"/>
            </w:pPr>
            <w:r>
              <w:t>4</w:t>
            </w:r>
          </w:p>
        </w:tc>
        <w:tc>
          <w:tcPr>
            <w:tcW w:w="269" w:type="pct"/>
            <w:tcBorders>
              <w:top w:val="nil"/>
              <w:bottom w:val="nil"/>
            </w:tcBorders>
            <w:vAlign w:val="center"/>
          </w:tcPr>
          <w:p w:rsidR="0031727F" w:rsidRDefault="0031727F" w:rsidP="00E964F6">
            <w:pPr>
              <w:pStyle w:val="TableText"/>
            </w:pPr>
            <w:r>
              <w:t>12</w:t>
            </w:r>
          </w:p>
        </w:tc>
        <w:tc>
          <w:tcPr>
            <w:tcW w:w="2659" w:type="pct"/>
            <w:tcBorders>
              <w:top w:val="nil"/>
              <w:bottom w:val="nil"/>
            </w:tcBorders>
          </w:tcPr>
          <w:p w:rsidR="0031727F" w:rsidRDefault="0031727F" w:rsidP="00E964F6">
            <w:pPr>
              <w:pStyle w:val="TableText"/>
              <w:rPr>
                <w:vertAlign w:val="superscript"/>
              </w:rPr>
            </w:pPr>
            <w:r>
              <w:t>Under-5 mortality rate per 1000</w:t>
            </w:r>
            <w:r>
              <w:rPr>
                <w:vertAlign w:val="superscript"/>
              </w:rPr>
              <w:t>8</w:t>
            </w:r>
          </w:p>
        </w:tc>
        <w:tc>
          <w:tcPr>
            <w:tcW w:w="301" w:type="pct"/>
            <w:tcBorders>
              <w:top w:val="nil"/>
              <w:bottom w:val="nil"/>
            </w:tcBorders>
            <w:vAlign w:val="center"/>
          </w:tcPr>
          <w:p w:rsidR="0031727F" w:rsidRDefault="0031727F" w:rsidP="00E964F6">
            <w:pPr>
              <w:pStyle w:val="TableText"/>
            </w:pPr>
            <w:r>
              <w:t>20.1</w:t>
            </w:r>
          </w:p>
        </w:tc>
        <w:tc>
          <w:tcPr>
            <w:tcW w:w="381" w:type="pct"/>
            <w:gridSpan w:val="3"/>
            <w:tcBorders>
              <w:top w:val="nil"/>
              <w:bottom w:val="nil"/>
            </w:tcBorders>
            <w:vAlign w:val="center"/>
          </w:tcPr>
          <w:p w:rsidR="0031727F" w:rsidRDefault="0031727F" w:rsidP="00E964F6">
            <w:pPr>
              <w:pStyle w:val="TableText"/>
            </w:pPr>
            <w:r>
              <w:t>20.7</w:t>
            </w:r>
          </w:p>
        </w:tc>
        <w:tc>
          <w:tcPr>
            <w:tcW w:w="301" w:type="pct"/>
            <w:tcBorders>
              <w:top w:val="nil"/>
              <w:bottom w:val="nil"/>
            </w:tcBorders>
            <w:vAlign w:val="center"/>
          </w:tcPr>
          <w:p w:rsidR="0031727F" w:rsidRDefault="0031727F" w:rsidP="00E964F6">
            <w:pPr>
              <w:pStyle w:val="TableText"/>
            </w:pP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18</w:t>
            </w:r>
          </w:p>
        </w:tc>
        <w:tc>
          <w:tcPr>
            <w:tcW w:w="349" w:type="pct"/>
            <w:tcBorders>
              <w:top w:val="nil"/>
              <w:bottom w:val="nil"/>
            </w:tcBorders>
            <w:vAlign w:val="center"/>
          </w:tcPr>
          <w:p w:rsidR="0031727F" w:rsidRDefault="0031727F" w:rsidP="00E964F6">
            <w:pPr>
              <w:pStyle w:val="TableText"/>
            </w:pPr>
            <w:r>
              <w:t>10</w:t>
            </w:r>
          </w:p>
        </w:tc>
      </w:tr>
      <w:tr w:rsidR="0031727F" w:rsidTr="00E964F6">
        <w:trPr>
          <w:jc w:val="center"/>
        </w:trPr>
        <w:tc>
          <w:tcPr>
            <w:tcW w:w="269" w:type="pct"/>
            <w:tcBorders>
              <w:top w:val="nil"/>
              <w:bottom w:val="single" w:sz="4" w:space="0" w:color="auto"/>
            </w:tcBorders>
            <w:vAlign w:val="center"/>
          </w:tcPr>
          <w:p w:rsidR="0031727F" w:rsidRDefault="0031727F" w:rsidP="00E964F6">
            <w:pPr>
              <w:pStyle w:val="TableText"/>
            </w:pPr>
          </w:p>
        </w:tc>
        <w:tc>
          <w:tcPr>
            <w:tcW w:w="269" w:type="pct"/>
            <w:tcBorders>
              <w:top w:val="nil"/>
              <w:bottom w:val="single" w:sz="4" w:space="0" w:color="auto"/>
            </w:tcBorders>
            <w:vAlign w:val="center"/>
          </w:tcPr>
          <w:p w:rsidR="0031727F" w:rsidRDefault="0031727F" w:rsidP="00E964F6">
            <w:pPr>
              <w:pStyle w:val="TableText"/>
            </w:pPr>
            <w:r>
              <w:t>12</w:t>
            </w:r>
          </w:p>
        </w:tc>
        <w:tc>
          <w:tcPr>
            <w:tcW w:w="2659" w:type="pct"/>
            <w:tcBorders>
              <w:top w:val="nil"/>
              <w:bottom w:val="single" w:sz="4" w:space="0" w:color="auto"/>
            </w:tcBorders>
          </w:tcPr>
          <w:p w:rsidR="0031727F" w:rsidRDefault="0031727F" w:rsidP="00E964F6">
            <w:pPr>
              <w:pStyle w:val="TableText"/>
            </w:pPr>
            <w:r>
              <w:t>Proportion of children vaccinated against measles (%)</w:t>
            </w:r>
          </w:p>
        </w:tc>
        <w:tc>
          <w:tcPr>
            <w:tcW w:w="301" w:type="pct"/>
            <w:tcBorders>
              <w:top w:val="nil"/>
              <w:bottom w:val="single" w:sz="4" w:space="0" w:color="auto"/>
            </w:tcBorders>
            <w:vAlign w:val="center"/>
          </w:tcPr>
          <w:p w:rsidR="0031727F" w:rsidRDefault="0031727F" w:rsidP="00E964F6">
            <w:pPr>
              <w:pStyle w:val="TableText"/>
            </w:pPr>
            <w:r>
              <w:t>95</w:t>
            </w:r>
          </w:p>
        </w:tc>
        <w:tc>
          <w:tcPr>
            <w:tcW w:w="381" w:type="pct"/>
            <w:gridSpan w:val="3"/>
            <w:tcBorders>
              <w:top w:val="nil"/>
              <w:bottom w:val="single" w:sz="4" w:space="0" w:color="auto"/>
            </w:tcBorders>
            <w:vAlign w:val="center"/>
          </w:tcPr>
          <w:p w:rsidR="0031727F" w:rsidRDefault="0031727F" w:rsidP="00E964F6">
            <w:pPr>
              <w:pStyle w:val="TableText"/>
            </w:pPr>
            <w:r>
              <w:t>94</w:t>
            </w:r>
          </w:p>
        </w:tc>
        <w:tc>
          <w:tcPr>
            <w:tcW w:w="301" w:type="pct"/>
            <w:tcBorders>
              <w:top w:val="nil"/>
              <w:bottom w:val="single" w:sz="4" w:space="0" w:color="auto"/>
            </w:tcBorders>
            <w:vAlign w:val="center"/>
          </w:tcPr>
          <w:p w:rsidR="0031727F" w:rsidRDefault="0031727F" w:rsidP="00E964F6">
            <w:pPr>
              <w:pStyle w:val="TableText"/>
            </w:pPr>
          </w:p>
        </w:tc>
        <w:tc>
          <w:tcPr>
            <w:tcW w:w="120" w:type="pct"/>
            <w:tcBorders>
              <w:top w:val="nil"/>
              <w:bottom w:val="single" w:sz="4" w:space="0" w:color="auto"/>
            </w:tcBorders>
            <w:vAlign w:val="center"/>
          </w:tcPr>
          <w:p w:rsidR="0031727F" w:rsidRDefault="0031727F" w:rsidP="00E964F6">
            <w:pPr>
              <w:pStyle w:val="TableText"/>
            </w:pPr>
          </w:p>
        </w:tc>
        <w:tc>
          <w:tcPr>
            <w:tcW w:w="349" w:type="pct"/>
            <w:tcBorders>
              <w:top w:val="nil"/>
              <w:bottom w:val="single" w:sz="4" w:space="0" w:color="auto"/>
            </w:tcBorders>
            <w:vAlign w:val="center"/>
          </w:tcPr>
          <w:p w:rsidR="0031727F" w:rsidRDefault="0031727F" w:rsidP="00E964F6">
            <w:pPr>
              <w:pStyle w:val="TableText"/>
            </w:pPr>
            <w:r>
              <w:t>95</w:t>
            </w:r>
          </w:p>
        </w:tc>
        <w:tc>
          <w:tcPr>
            <w:tcW w:w="349" w:type="pct"/>
            <w:tcBorders>
              <w:top w:val="nil"/>
              <w:bottom w:val="single" w:sz="4" w:space="0" w:color="auto"/>
            </w:tcBorders>
            <w:vAlign w:val="center"/>
          </w:tcPr>
          <w:p w:rsidR="0031727F" w:rsidRDefault="0031727F" w:rsidP="00E964F6">
            <w:pPr>
              <w:pStyle w:val="TableText"/>
            </w:pPr>
            <w:r>
              <w:t>95</w:t>
            </w:r>
          </w:p>
        </w:tc>
      </w:tr>
      <w:tr w:rsidR="0031727F" w:rsidTr="00E964F6">
        <w:trPr>
          <w:jc w:val="center"/>
        </w:trPr>
        <w:tc>
          <w:tcPr>
            <w:tcW w:w="269" w:type="pct"/>
            <w:tcBorders>
              <w:top w:val="nil"/>
              <w:bottom w:val="nil"/>
            </w:tcBorders>
            <w:vAlign w:val="center"/>
          </w:tcPr>
          <w:p w:rsidR="0031727F" w:rsidRDefault="0031727F" w:rsidP="00E964F6">
            <w:pPr>
              <w:pStyle w:val="TableText"/>
            </w:pPr>
            <w:r>
              <w:t>5</w:t>
            </w:r>
          </w:p>
        </w:tc>
        <w:tc>
          <w:tcPr>
            <w:tcW w:w="269" w:type="pct"/>
            <w:tcBorders>
              <w:top w:val="nil"/>
              <w:bottom w:val="nil"/>
            </w:tcBorders>
            <w:vAlign w:val="center"/>
          </w:tcPr>
          <w:p w:rsidR="0031727F" w:rsidRDefault="0031727F" w:rsidP="00E964F6">
            <w:pPr>
              <w:pStyle w:val="TableText"/>
            </w:pPr>
            <w:r>
              <w:t>13</w:t>
            </w:r>
          </w:p>
        </w:tc>
        <w:tc>
          <w:tcPr>
            <w:tcW w:w="2659" w:type="pct"/>
            <w:tcBorders>
              <w:top w:val="nil"/>
              <w:bottom w:val="nil"/>
            </w:tcBorders>
          </w:tcPr>
          <w:p w:rsidR="0031727F" w:rsidRDefault="0031727F" w:rsidP="00E964F6">
            <w:pPr>
              <w:pStyle w:val="TableText"/>
              <w:rPr>
                <w:vertAlign w:val="superscript"/>
              </w:rPr>
            </w:pPr>
            <w:r>
              <w:t>Proportion of first prenatal visits by first trimester (%)</w:t>
            </w:r>
            <w:r>
              <w:rPr>
                <w:vertAlign w:val="superscript"/>
              </w:rPr>
              <w:t>8</w:t>
            </w:r>
          </w:p>
        </w:tc>
        <w:tc>
          <w:tcPr>
            <w:tcW w:w="301" w:type="pct"/>
            <w:tcBorders>
              <w:top w:val="nil"/>
              <w:bottom w:val="nil"/>
            </w:tcBorders>
            <w:vAlign w:val="center"/>
          </w:tcPr>
          <w:p w:rsidR="0031727F" w:rsidRDefault="0031727F" w:rsidP="00E964F6">
            <w:pPr>
              <w:pStyle w:val="TableText"/>
            </w:pPr>
            <w:r>
              <w:t>42</w:t>
            </w:r>
          </w:p>
        </w:tc>
        <w:tc>
          <w:tcPr>
            <w:tcW w:w="381" w:type="pct"/>
            <w:gridSpan w:val="3"/>
            <w:tcBorders>
              <w:top w:val="nil"/>
              <w:bottom w:val="nil"/>
            </w:tcBorders>
            <w:vAlign w:val="center"/>
          </w:tcPr>
          <w:p w:rsidR="0031727F" w:rsidRDefault="0031727F" w:rsidP="00E964F6">
            <w:pPr>
              <w:pStyle w:val="TableText"/>
            </w:pPr>
            <w:r>
              <w:t>47</w:t>
            </w:r>
          </w:p>
        </w:tc>
        <w:tc>
          <w:tcPr>
            <w:tcW w:w="301" w:type="pct"/>
            <w:tcBorders>
              <w:top w:val="nil"/>
              <w:bottom w:val="nil"/>
            </w:tcBorders>
            <w:vAlign w:val="center"/>
          </w:tcPr>
          <w:p w:rsidR="0031727F" w:rsidRDefault="0031727F" w:rsidP="00E964F6">
            <w:pPr>
              <w:pStyle w:val="TableText"/>
            </w:pP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50</w:t>
            </w:r>
          </w:p>
        </w:tc>
        <w:tc>
          <w:tcPr>
            <w:tcW w:w="349" w:type="pct"/>
            <w:tcBorders>
              <w:top w:val="nil"/>
              <w:bottom w:val="nil"/>
            </w:tcBorders>
            <w:vAlign w:val="center"/>
          </w:tcPr>
          <w:p w:rsidR="0031727F" w:rsidRDefault="0031727F" w:rsidP="00E964F6">
            <w:pPr>
              <w:pStyle w:val="TableText"/>
            </w:pPr>
            <w:r>
              <w:t>70</w:t>
            </w:r>
          </w:p>
        </w:tc>
      </w:tr>
      <w:tr w:rsidR="0031727F" w:rsidTr="00E964F6">
        <w:trPr>
          <w:jc w:val="center"/>
        </w:trPr>
        <w:tc>
          <w:tcPr>
            <w:tcW w:w="269" w:type="pct"/>
            <w:tcBorders>
              <w:top w:val="nil"/>
              <w:bottom w:val="single" w:sz="4" w:space="0" w:color="auto"/>
            </w:tcBorders>
            <w:vAlign w:val="center"/>
          </w:tcPr>
          <w:p w:rsidR="0031727F" w:rsidRDefault="0031727F" w:rsidP="00E964F6">
            <w:pPr>
              <w:pStyle w:val="TableText"/>
            </w:pPr>
          </w:p>
        </w:tc>
        <w:tc>
          <w:tcPr>
            <w:tcW w:w="269" w:type="pct"/>
            <w:tcBorders>
              <w:top w:val="nil"/>
              <w:bottom w:val="single" w:sz="4" w:space="0" w:color="auto"/>
            </w:tcBorders>
            <w:vAlign w:val="center"/>
          </w:tcPr>
          <w:p w:rsidR="0031727F" w:rsidRDefault="0031727F" w:rsidP="00E964F6">
            <w:pPr>
              <w:pStyle w:val="TableText"/>
            </w:pPr>
            <w:r>
              <w:t>13</w:t>
            </w:r>
          </w:p>
        </w:tc>
        <w:tc>
          <w:tcPr>
            <w:tcW w:w="2659" w:type="pct"/>
            <w:tcBorders>
              <w:top w:val="nil"/>
              <w:bottom w:val="single" w:sz="4" w:space="0" w:color="auto"/>
            </w:tcBorders>
          </w:tcPr>
          <w:p w:rsidR="0031727F" w:rsidRDefault="0031727F" w:rsidP="00E964F6">
            <w:pPr>
              <w:pStyle w:val="TableText"/>
              <w:rPr>
                <w:vertAlign w:val="superscript"/>
              </w:rPr>
            </w:pPr>
            <w:r>
              <w:t>Promotion of births attended by skilled health personnel (%)</w:t>
            </w:r>
            <w:r>
              <w:rPr>
                <w:vertAlign w:val="superscript"/>
              </w:rPr>
              <w:t>8</w:t>
            </w:r>
          </w:p>
        </w:tc>
        <w:tc>
          <w:tcPr>
            <w:tcW w:w="301" w:type="pct"/>
            <w:tcBorders>
              <w:top w:val="nil"/>
              <w:bottom w:val="single" w:sz="4" w:space="0" w:color="auto"/>
            </w:tcBorders>
            <w:vAlign w:val="center"/>
          </w:tcPr>
          <w:p w:rsidR="0031727F" w:rsidRDefault="0031727F" w:rsidP="00E964F6">
            <w:pPr>
              <w:pStyle w:val="TableText"/>
            </w:pPr>
            <w:r>
              <w:t>98</w:t>
            </w:r>
          </w:p>
        </w:tc>
        <w:tc>
          <w:tcPr>
            <w:tcW w:w="381" w:type="pct"/>
            <w:gridSpan w:val="3"/>
            <w:tcBorders>
              <w:top w:val="nil"/>
              <w:bottom w:val="single" w:sz="4" w:space="0" w:color="auto"/>
            </w:tcBorders>
            <w:vAlign w:val="center"/>
          </w:tcPr>
          <w:p w:rsidR="0031727F" w:rsidRDefault="0031727F" w:rsidP="00E964F6">
            <w:pPr>
              <w:pStyle w:val="TableText"/>
            </w:pPr>
            <w:r>
              <w:t>90</w:t>
            </w:r>
          </w:p>
        </w:tc>
        <w:tc>
          <w:tcPr>
            <w:tcW w:w="301" w:type="pct"/>
            <w:tcBorders>
              <w:top w:val="nil"/>
              <w:bottom w:val="single" w:sz="4" w:space="0" w:color="auto"/>
            </w:tcBorders>
            <w:vAlign w:val="center"/>
          </w:tcPr>
          <w:p w:rsidR="0031727F" w:rsidRDefault="0031727F" w:rsidP="00E964F6">
            <w:pPr>
              <w:pStyle w:val="TableText"/>
            </w:pPr>
          </w:p>
        </w:tc>
        <w:tc>
          <w:tcPr>
            <w:tcW w:w="120" w:type="pct"/>
            <w:tcBorders>
              <w:top w:val="nil"/>
              <w:bottom w:val="single" w:sz="4" w:space="0" w:color="auto"/>
            </w:tcBorders>
            <w:vAlign w:val="center"/>
          </w:tcPr>
          <w:p w:rsidR="0031727F" w:rsidRDefault="0031727F" w:rsidP="00E964F6">
            <w:pPr>
              <w:pStyle w:val="TableText"/>
            </w:pPr>
          </w:p>
        </w:tc>
        <w:tc>
          <w:tcPr>
            <w:tcW w:w="349" w:type="pct"/>
            <w:tcBorders>
              <w:top w:val="nil"/>
              <w:bottom w:val="single" w:sz="4" w:space="0" w:color="auto"/>
            </w:tcBorders>
            <w:vAlign w:val="center"/>
          </w:tcPr>
          <w:p w:rsidR="0031727F" w:rsidRDefault="0031727F" w:rsidP="00E964F6">
            <w:pPr>
              <w:pStyle w:val="TableText"/>
            </w:pPr>
            <w:r>
              <w:t>98</w:t>
            </w:r>
          </w:p>
        </w:tc>
        <w:tc>
          <w:tcPr>
            <w:tcW w:w="349" w:type="pct"/>
            <w:tcBorders>
              <w:top w:val="nil"/>
              <w:bottom w:val="single" w:sz="4" w:space="0" w:color="auto"/>
            </w:tcBorders>
            <w:vAlign w:val="center"/>
          </w:tcPr>
          <w:p w:rsidR="0031727F" w:rsidRDefault="0031727F" w:rsidP="00E964F6">
            <w:pPr>
              <w:pStyle w:val="TableText"/>
            </w:pPr>
            <w:r>
              <w:t>98</w:t>
            </w:r>
          </w:p>
        </w:tc>
      </w:tr>
      <w:tr w:rsidR="0031727F" w:rsidTr="00E964F6">
        <w:trPr>
          <w:jc w:val="center"/>
        </w:trPr>
        <w:tc>
          <w:tcPr>
            <w:tcW w:w="269" w:type="pct"/>
            <w:tcBorders>
              <w:top w:val="nil"/>
              <w:bottom w:val="nil"/>
            </w:tcBorders>
            <w:vAlign w:val="center"/>
          </w:tcPr>
          <w:p w:rsidR="0031727F" w:rsidRDefault="0031727F" w:rsidP="00E964F6">
            <w:pPr>
              <w:pStyle w:val="TableText"/>
            </w:pPr>
            <w:r>
              <w:t>6</w:t>
            </w:r>
          </w:p>
        </w:tc>
        <w:tc>
          <w:tcPr>
            <w:tcW w:w="269" w:type="pct"/>
            <w:tcBorders>
              <w:top w:val="nil"/>
              <w:bottom w:val="nil"/>
            </w:tcBorders>
            <w:vAlign w:val="center"/>
          </w:tcPr>
          <w:p w:rsidR="0031727F" w:rsidRDefault="0031727F" w:rsidP="00E964F6">
            <w:pPr>
              <w:pStyle w:val="TableText"/>
            </w:pPr>
            <w:r>
              <w:t>14</w:t>
            </w:r>
          </w:p>
        </w:tc>
        <w:tc>
          <w:tcPr>
            <w:tcW w:w="2659" w:type="pct"/>
            <w:tcBorders>
              <w:top w:val="nil"/>
              <w:bottom w:val="nil"/>
            </w:tcBorders>
          </w:tcPr>
          <w:p w:rsidR="0031727F" w:rsidRDefault="0031727F" w:rsidP="00E964F6">
            <w:pPr>
              <w:pStyle w:val="TableText"/>
            </w:pPr>
            <w:r>
              <w:t>Proportion of people living with HIV/AIDS needing highly active anti-retroviral therapy who receive it (%)</w:t>
            </w:r>
          </w:p>
        </w:tc>
        <w:tc>
          <w:tcPr>
            <w:tcW w:w="301" w:type="pct"/>
            <w:tcBorders>
              <w:top w:val="nil"/>
              <w:bottom w:val="nil"/>
            </w:tcBorders>
            <w:vAlign w:val="center"/>
          </w:tcPr>
          <w:p w:rsidR="0031727F" w:rsidRDefault="0031727F" w:rsidP="00E964F6">
            <w:pPr>
              <w:pStyle w:val="TableText"/>
            </w:pPr>
          </w:p>
        </w:tc>
        <w:tc>
          <w:tcPr>
            <w:tcW w:w="381" w:type="pct"/>
            <w:gridSpan w:val="3"/>
            <w:tcBorders>
              <w:top w:val="nil"/>
              <w:bottom w:val="nil"/>
            </w:tcBorders>
            <w:vAlign w:val="center"/>
          </w:tcPr>
          <w:p w:rsidR="0031727F" w:rsidRDefault="0031727F" w:rsidP="00E964F6">
            <w:pPr>
              <w:pStyle w:val="TableText"/>
            </w:pPr>
            <w:r>
              <w:t>20</w:t>
            </w:r>
          </w:p>
        </w:tc>
        <w:tc>
          <w:tcPr>
            <w:tcW w:w="301" w:type="pct"/>
            <w:tcBorders>
              <w:top w:val="nil"/>
              <w:bottom w:val="nil"/>
            </w:tcBorders>
            <w:vAlign w:val="center"/>
          </w:tcPr>
          <w:p w:rsidR="0031727F" w:rsidRDefault="0031727F" w:rsidP="00E964F6">
            <w:pPr>
              <w:pStyle w:val="TableText"/>
            </w:pP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100</w:t>
            </w:r>
          </w:p>
        </w:tc>
        <w:tc>
          <w:tcPr>
            <w:tcW w:w="349" w:type="pct"/>
            <w:tcBorders>
              <w:top w:val="nil"/>
              <w:bottom w:val="nil"/>
            </w:tcBorders>
            <w:vAlign w:val="center"/>
          </w:tcPr>
          <w:p w:rsidR="0031727F" w:rsidRDefault="0031727F" w:rsidP="00E964F6">
            <w:pPr>
              <w:pStyle w:val="TableText"/>
            </w:pPr>
            <w:r>
              <w:t>100</w:t>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14</w:t>
            </w:r>
          </w:p>
        </w:tc>
        <w:tc>
          <w:tcPr>
            <w:tcW w:w="2659" w:type="pct"/>
            <w:tcBorders>
              <w:top w:val="nil"/>
              <w:bottom w:val="nil"/>
            </w:tcBorders>
          </w:tcPr>
          <w:p w:rsidR="0031727F" w:rsidRDefault="0031727F" w:rsidP="00E964F6">
            <w:pPr>
              <w:pStyle w:val="TableText"/>
            </w:pPr>
            <w:r>
              <w:t>Number of persons voluntarily taking an HIV test</w:t>
            </w:r>
          </w:p>
        </w:tc>
        <w:tc>
          <w:tcPr>
            <w:tcW w:w="301" w:type="pct"/>
            <w:tcBorders>
              <w:top w:val="nil"/>
              <w:bottom w:val="nil"/>
            </w:tcBorders>
            <w:vAlign w:val="center"/>
          </w:tcPr>
          <w:p w:rsidR="0031727F" w:rsidRDefault="0031727F" w:rsidP="00E964F6">
            <w:pPr>
              <w:pStyle w:val="TableText"/>
            </w:pPr>
          </w:p>
        </w:tc>
        <w:tc>
          <w:tcPr>
            <w:tcW w:w="381" w:type="pct"/>
            <w:gridSpan w:val="3"/>
            <w:tcBorders>
              <w:top w:val="nil"/>
              <w:bottom w:val="nil"/>
            </w:tcBorders>
            <w:vAlign w:val="center"/>
          </w:tcPr>
          <w:p w:rsidR="0031727F" w:rsidRDefault="0031727F" w:rsidP="00E964F6">
            <w:pPr>
              <w:pStyle w:val="TableText"/>
            </w:pPr>
            <w:r>
              <w:t>250</w:t>
            </w:r>
          </w:p>
        </w:tc>
        <w:tc>
          <w:tcPr>
            <w:tcW w:w="301" w:type="pct"/>
            <w:tcBorders>
              <w:top w:val="nil"/>
              <w:bottom w:val="nil"/>
            </w:tcBorders>
            <w:vAlign w:val="center"/>
          </w:tcPr>
          <w:p w:rsidR="0031727F" w:rsidRDefault="0031727F" w:rsidP="00E964F6">
            <w:pPr>
              <w:pStyle w:val="TableText"/>
            </w:pPr>
            <w:r>
              <w:t>350</w:t>
            </w: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10000</w:t>
            </w:r>
          </w:p>
        </w:tc>
        <w:tc>
          <w:tcPr>
            <w:tcW w:w="349" w:type="pct"/>
            <w:tcBorders>
              <w:top w:val="nil"/>
              <w:bottom w:val="nil"/>
            </w:tcBorders>
            <w:vAlign w:val="center"/>
          </w:tcPr>
          <w:p w:rsidR="0031727F" w:rsidRDefault="0031727F" w:rsidP="00E964F6">
            <w:pPr>
              <w:pStyle w:val="TableText"/>
            </w:pPr>
            <w:r>
              <w:t>50000</w:t>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14</w:t>
            </w:r>
          </w:p>
        </w:tc>
        <w:tc>
          <w:tcPr>
            <w:tcW w:w="2659" w:type="pct"/>
            <w:tcBorders>
              <w:top w:val="nil"/>
              <w:bottom w:val="nil"/>
            </w:tcBorders>
          </w:tcPr>
          <w:p w:rsidR="0031727F" w:rsidRDefault="0031727F" w:rsidP="00E964F6">
            <w:pPr>
              <w:pStyle w:val="TableText"/>
            </w:pPr>
            <w:r>
              <w:t>Districts having a voluntary counselling and testing site</w:t>
            </w:r>
          </w:p>
        </w:tc>
        <w:tc>
          <w:tcPr>
            <w:tcW w:w="301" w:type="pct"/>
            <w:tcBorders>
              <w:top w:val="nil"/>
              <w:bottom w:val="nil"/>
            </w:tcBorders>
            <w:vAlign w:val="center"/>
          </w:tcPr>
          <w:p w:rsidR="0031727F" w:rsidRDefault="0031727F" w:rsidP="00E964F6">
            <w:pPr>
              <w:pStyle w:val="TableText"/>
            </w:pPr>
          </w:p>
        </w:tc>
        <w:tc>
          <w:tcPr>
            <w:tcW w:w="381" w:type="pct"/>
            <w:gridSpan w:val="3"/>
            <w:tcBorders>
              <w:top w:val="nil"/>
              <w:bottom w:val="nil"/>
            </w:tcBorders>
            <w:vAlign w:val="center"/>
          </w:tcPr>
          <w:p w:rsidR="0031727F" w:rsidRDefault="0031727F" w:rsidP="00E964F6">
            <w:pPr>
              <w:pStyle w:val="TableText"/>
            </w:pPr>
            <w:r>
              <w:t>4</w:t>
            </w:r>
          </w:p>
        </w:tc>
        <w:tc>
          <w:tcPr>
            <w:tcW w:w="301" w:type="pct"/>
            <w:tcBorders>
              <w:top w:val="nil"/>
              <w:bottom w:val="nil"/>
            </w:tcBorders>
            <w:vAlign w:val="center"/>
          </w:tcPr>
          <w:p w:rsidR="0031727F" w:rsidRDefault="0031727F" w:rsidP="00E964F6">
            <w:pPr>
              <w:pStyle w:val="TableText"/>
            </w:pPr>
            <w:r>
              <w:t>1</w:t>
            </w: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6</w:t>
            </w:r>
          </w:p>
        </w:tc>
        <w:tc>
          <w:tcPr>
            <w:tcW w:w="349" w:type="pct"/>
            <w:tcBorders>
              <w:top w:val="nil"/>
              <w:bottom w:val="nil"/>
            </w:tcBorders>
            <w:vAlign w:val="center"/>
          </w:tcPr>
          <w:p w:rsidR="0031727F" w:rsidRDefault="0031727F" w:rsidP="00E964F6">
            <w:pPr>
              <w:pStyle w:val="TableText"/>
            </w:pPr>
            <w:r>
              <w:t>15</w:t>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14</w:t>
            </w:r>
          </w:p>
        </w:tc>
        <w:tc>
          <w:tcPr>
            <w:tcW w:w="2659" w:type="pct"/>
            <w:tcBorders>
              <w:top w:val="nil"/>
              <w:bottom w:val="nil"/>
            </w:tcBorders>
          </w:tcPr>
          <w:p w:rsidR="0031727F" w:rsidRDefault="0031727F" w:rsidP="00E964F6">
            <w:pPr>
              <w:pStyle w:val="TableText"/>
            </w:pPr>
            <w:r>
              <w:t>Number of condoms distributed (million)</w:t>
            </w:r>
          </w:p>
        </w:tc>
        <w:tc>
          <w:tcPr>
            <w:tcW w:w="301" w:type="pct"/>
            <w:tcBorders>
              <w:top w:val="nil"/>
              <w:bottom w:val="nil"/>
            </w:tcBorders>
            <w:vAlign w:val="center"/>
          </w:tcPr>
          <w:p w:rsidR="0031727F" w:rsidRDefault="0031727F" w:rsidP="00E964F6">
            <w:pPr>
              <w:pStyle w:val="TableText"/>
            </w:pPr>
          </w:p>
        </w:tc>
        <w:tc>
          <w:tcPr>
            <w:tcW w:w="381" w:type="pct"/>
            <w:gridSpan w:val="3"/>
            <w:tcBorders>
              <w:top w:val="nil"/>
              <w:bottom w:val="nil"/>
            </w:tcBorders>
            <w:vAlign w:val="center"/>
          </w:tcPr>
          <w:p w:rsidR="0031727F" w:rsidRDefault="0031727F" w:rsidP="00E964F6">
            <w:pPr>
              <w:pStyle w:val="TableText"/>
            </w:pPr>
            <w:r>
              <w:t>3</w:t>
            </w:r>
          </w:p>
        </w:tc>
        <w:tc>
          <w:tcPr>
            <w:tcW w:w="301" w:type="pct"/>
            <w:tcBorders>
              <w:top w:val="nil"/>
              <w:bottom w:val="nil"/>
            </w:tcBorders>
            <w:vAlign w:val="center"/>
          </w:tcPr>
          <w:p w:rsidR="0031727F" w:rsidRDefault="0031727F" w:rsidP="00E964F6">
            <w:pPr>
              <w:pStyle w:val="TableText"/>
            </w:pPr>
            <w:r>
              <w:t>3</w:t>
            </w: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4</w:t>
            </w:r>
          </w:p>
        </w:tc>
        <w:tc>
          <w:tcPr>
            <w:tcW w:w="349" w:type="pct"/>
            <w:tcBorders>
              <w:top w:val="nil"/>
              <w:bottom w:val="nil"/>
            </w:tcBorders>
            <w:vAlign w:val="center"/>
          </w:tcPr>
          <w:p w:rsidR="0031727F" w:rsidRDefault="0031727F" w:rsidP="00E964F6">
            <w:pPr>
              <w:pStyle w:val="TableText"/>
            </w:pPr>
            <w:r>
              <w:t>7</w:t>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15</w:t>
            </w:r>
          </w:p>
        </w:tc>
        <w:tc>
          <w:tcPr>
            <w:tcW w:w="2659" w:type="pct"/>
            <w:tcBorders>
              <w:top w:val="nil"/>
              <w:bottom w:val="nil"/>
            </w:tcBorders>
          </w:tcPr>
          <w:p w:rsidR="0031727F" w:rsidRDefault="0031727F" w:rsidP="00E964F6">
            <w:pPr>
              <w:pStyle w:val="TableText"/>
            </w:pPr>
            <w:r>
              <w:t>Tuberculosis notification rate per 100,000</w:t>
            </w:r>
          </w:p>
        </w:tc>
        <w:tc>
          <w:tcPr>
            <w:tcW w:w="301" w:type="pct"/>
            <w:tcBorders>
              <w:top w:val="nil"/>
              <w:bottom w:val="nil"/>
            </w:tcBorders>
            <w:vAlign w:val="center"/>
          </w:tcPr>
          <w:p w:rsidR="0031727F" w:rsidRDefault="0031727F" w:rsidP="00E964F6">
            <w:pPr>
              <w:pStyle w:val="TableText"/>
            </w:pPr>
          </w:p>
        </w:tc>
        <w:tc>
          <w:tcPr>
            <w:tcW w:w="381" w:type="pct"/>
            <w:gridSpan w:val="3"/>
            <w:tcBorders>
              <w:top w:val="nil"/>
              <w:bottom w:val="nil"/>
            </w:tcBorders>
            <w:vAlign w:val="center"/>
          </w:tcPr>
          <w:p w:rsidR="0031727F" w:rsidRDefault="0031727F" w:rsidP="00E964F6">
            <w:pPr>
              <w:pStyle w:val="TableText"/>
            </w:pPr>
            <w:r>
              <w:t>20</w:t>
            </w:r>
          </w:p>
        </w:tc>
        <w:tc>
          <w:tcPr>
            <w:tcW w:w="301" w:type="pct"/>
            <w:tcBorders>
              <w:top w:val="nil"/>
              <w:bottom w:val="nil"/>
            </w:tcBorders>
            <w:vAlign w:val="center"/>
          </w:tcPr>
          <w:p w:rsidR="0031727F" w:rsidRDefault="0031727F" w:rsidP="00E964F6">
            <w:pPr>
              <w:pStyle w:val="TableText"/>
            </w:pPr>
            <w:r>
              <w:t>20</w:t>
            </w: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19</w:t>
            </w:r>
          </w:p>
        </w:tc>
        <w:tc>
          <w:tcPr>
            <w:tcW w:w="349" w:type="pct"/>
            <w:tcBorders>
              <w:top w:val="nil"/>
              <w:bottom w:val="nil"/>
            </w:tcBorders>
            <w:vAlign w:val="center"/>
          </w:tcPr>
          <w:p w:rsidR="0031727F" w:rsidRDefault="0031727F" w:rsidP="00E964F6">
            <w:pPr>
              <w:pStyle w:val="TableText"/>
            </w:pPr>
            <w:r>
              <w:sym w:font="Symbol" w:char="F02D"/>
            </w:r>
          </w:p>
        </w:tc>
      </w:tr>
      <w:tr w:rsidR="0031727F" w:rsidTr="00E964F6">
        <w:trPr>
          <w:jc w:val="center"/>
        </w:trPr>
        <w:tc>
          <w:tcPr>
            <w:tcW w:w="269" w:type="pct"/>
            <w:tcBorders>
              <w:top w:val="nil"/>
              <w:bottom w:val="nil"/>
            </w:tcBorders>
            <w:vAlign w:val="center"/>
          </w:tcPr>
          <w:p w:rsidR="0031727F" w:rsidRDefault="0031727F" w:rsidP="00E964F6">
            <w:pPr>
              <w:pStyle w:val="TableText"/>
            </w:pPr>
          </w:p>
        </w:tc>
        <w:tc>
          <w:tcPr>
            <w:tcW w:w="269" w:type="pct"/>
            <w:tcBorders>
              <w:top w:val="nil"/>
              <w:bottom w:val="nil"/>
            </w:tcBorders>
            <w:vAlign w:val="center"/>
          </w:tcPr>
          <w:p w:rsidR="0031727F" w:rsidRDefault="0031727F" w:rsidP="00E964F6">
            <w:pPr>
              <w:pStyle w:val="TableText"/>
            </w:pPr>
            <w:r>
              <w:t>15</w:t>
            </w:r>
          </w:p>
        </w:tc>
        <w:tc>
          <w:tcPr>
            <w:tcW w:w="2659" w:type="pct"/>
            <w:tcBorders>
              <w:top w:val="nil"/>
              <w:bottom w:val="nil"/>
            </w:tcBorders>
          </w:tcPr>
          <w:p w:rsidR="0031727F" w:rsidRDefault="0031727F" w:rsidP="00E964F6">
            <w:pPr>
              <w:pStyle w:val="TableText"/>
            </w:pPr>
            <w:r>
              <w:t>Tuberculosis mortality rate (%)</w:t>
            </w:r>
          </w:p>
        </w:tc>
        <w:tc>
          <w:tcPr>
            <w:tcW w:w="301" w:type="pct"/>
            <w:tcBorders>
              <w:top w:val="nil"/>
              <w:bottom w:val="nil"/>
            </w:tcBorders>
            <w:vAlign w:val="center"/>
          </w:tcPr>
          <w:p w:rsidR="0031727F" w:rsidRDefault="0031727F" w:rsidP="00E964F6">
            <w:pPr>
              <w:pStyle w:val="TableText"/>
            </w:pPr>
          </w:p>
        </w:tc>
        <w:tc>
          <w:tcPr>
            <w:tcW w:w="381" w:type="pct"/>
            <w:gridSpan w:val="3"/>
            <w:tcBorders>
              <w:top w:val="nil"/>
              <w:bottom w:val="nil"/>
            </w:tcBorders>
            <w:vAlign w:val="center"/>
          </w:tcPr>
          <w:p w:rsidR="0031727F" w:rsidRDefault="0031727F" w:rsidP="00E964F6">
            <w:pPr>
              <w:pStyle w:val="TableText"/>
            </w:pPr>
            <w:r>
              <w:t>4.5</w:t>
            </w:r>
          </w:p>
        </w:tc>
        <w:tc>
          <w:tcPr>
            <w:tcW w:w="301" w:type="pct"/>
            <w:tcBorders>
              <w:top w:val="nil"/>
              <w:bottom w:val="nil"/>
            </w:tcBorders>
            <w:vAlign w:val="center"/>
          </w:tcPr>
          <w:p w:rsidR="0031727F" w:rsidRDefault="0031727F" w:rsidP="00E964F6">
            <w:pPr>
              <w:pStyle w:val="TableText"/>
            </w:pPr>
            <w:r>
              <w:t>3.5</w:t>
            </w:r>
          </w:p>
        </w:tc>
        <w:tc>
          <w:tcPr>
            <w:tcW w:w="120" w:type="pct"/>
            <w:tcBorders>
              <w:top w:val="nil"/>
              <w:bottom w:val="nil"/>
            </w:tcBorders>
            <w:vAlign w:val="center"/>
          </w:tcPr>
          <w:p w:rsidR="0031727F" w:rsidRDefault="0031727F" w:rsidP="00E964F6">
            <w:pPr>
              <w:pStyle w:val="TableText"/>
            </w:pPr>
          </w:p>
        </w:tc>
        <w:tc>
          <w:tcPr>
            <w:tcW w:w="349" w:type="pct"/>
            <w:tcBorders>
              <w:top w:val="nil"/>
              <w:bottom w:val="nil"/>
            </w:tcBorders>
            <w:vAlign w:val="center"/>
          </w:tcPr>
          <w:p w:rsidR="0031727F" w:rsidRDefault="0031727F" w:rsidP="00E964F6">
            <w:pPr>
              <w:pStyle w:val="TableText"/>
            </w:pPr>
            <w:r>
              <w:t>4</w:t>
            </w:r>
          </w:p>
        </w:tc>
        <w:tc>
          <w:tcPr>
            <w:tcW w:w="349" w:type="pct"/>
            <w:tcBorders>
              <w:top w:val="nil"/>
              <w:bottom w:val="nil"/>
            </w:tcBorders>
            <w:vAlign w:val="center"/>
          </w:tcPr>
          <w:p w:rsidR="0031727F" w:rsidRDefault="0031727F" w:rsidP="00E964F6">
            <w:pPr>
              <w:pStyle w:val="TableText"/>
            </w:pPr>
            <w:r>
              <w:sym w:font="Symbol" w:char="F02D"/>
            </w:r>
          </w:p>
        </w:tc>
      </w:tr>
      <w:tr w:rsidR="0031727F" w:rsidTr="00E964F6">
        <w:trPr>
          <w:jc w:val="center"/>
        </w:trPr>
        <w:tc>
          <w:tcPr>
            <w:tcW w:w="269" w:type="pct"/>
            <w:tcBorders>
              <w:top w:val="nil"/>
              <w:bottom w:val="single" w:sz="4" w:space="0" w:color="auto"/>
            </w:tcBorders>
            <w:vAlign w:val="center"/>
          </w:tcPr>
          <w:p w:rsidR="0031727F" w:rsidRDefault="0031727F" w:rsidP="00E964F6">
            <w:pPr>
              <w:pStyle w:val="TableText"/>
            </w:pPr>
          </w:p>
        </w:tc>
        <w:tc>
          <w:tcPr>
            <w:tcW w:w="269" w:type="pct"/>
            <w:tcBorders>
              <w:top w:val="nil"/>
              <w:bottom w:val="single" w:sz="4" w:space="0" w:color="auto"/>
            </w:tcBorders>
            <w:vAlign w:val="center"/>
          </w:tcPr>
          <w:p w:rsidR="0031727F" w:rsidRDefault="0031727F" w:rsidP="00E964F6">
            <w:pPr>
              <w:pStyle w:val="TableText"/>
            </w:pPr>
            <w:r>
              <w:t>15</w:t>
            </w:r>
          </w:p>
        </w:tc>
        <w:tc>
          <w:tcPr>
            <w:tcW w:w="2659" w:type="pct"/>
            <w:tcBorders>
              <w:top w:val="nil"/>
              <w:bottom w:val="single" w:sz="4" w:space="0" w:color="auto"/>
            </w:tcBorders>
          </w:tcPr>
          <w:p w:rsidR="0031727F" w:rsidRDefault="0031727F" w:rsidP="00E964F6">
            <w:pPr>
              <w:pStyle w:val="TableText"/>
            </w:pPr>
            <w:r>
              <w:t>Directly Observed Therapy Short-course coverage (%)</w:t>
            </w:r>
          </w:p>
        </w:tc>
        <w:tc>
          <w:tcPr>
            <w:tcW w:w="301" w:type="pct"/>
            <w:tcBorders>
              <w:top w:val="nil"/>
              <w:bottom w:val="single" w:sz="4" w:space="0" w:color="auto"/>
            </w:tcBorders>
            <w:vAlign w:val="center"/>
          </w:tcPr>
          <w:p w:rsidR="0031727F" w:rsidRDefault="0031727F" w:rsidP="00E964F6">
            <w:pPr>
              <w:pStyle w:val="TableText"/>
            </w:pPr>
          </w:p>
        </w:tc>
        <w:tc>
          <w:tcPr>
            <w:tcW w:w="381" w:type="pct"/>
            <w:gridSpan w:val="3"/>
            <w:tcBorders>
              <w:top w:val="nil"/>
              <w:bottom w:val="single" w:sz="4" w:space="0" w:color="auto"/>
            </w:tcBorders>
            <w:vAlign w:val="center"/>
          </w:tcPr>
          <w:p w:rsidR="0031727F" w:rsidRDefault="0031727F" w:rsidP="00E964F6">
            <w:pPr>
              <w:pStyle w:val="TableText"/>
            </w:pPr>
            <w:r>
              <w:t>30</w:t>
            </w:r>
          </w:p>
        </w:tc>
        <w:tc>
          <w:tcPr>
            <w:tcW w:w="301" w:type="pct"/>
            <w:tcBorders>
              <w:top w:val="nil"/>
              <w:bottom w:val="single" w:sz="4" w:space="0" w:color="auto"/>
            </w:tcBorders>
            <w:vAlign w:val="center"/>
          </w:tcPr>
          <w:p w:rsidR="0031727F" w:rsidRDefault="0031727F" w:rsidP="00E964F6">
            <w:pPr>
              <w:pStyle w:val="TableText"/>
            </w:pPr>
            <w:r>
              <w:t>40</w:t>
            </w:r>
          </w:p>
        </w:tc>
        <w:tc>
          <w:tcPr>
            <w:tcW w:w="120" w:type="pct"/>
            <w:tcBorders>
              <w:top w:val="nil"/>
              <w:bottom w:val="single" w:sz="4" w:space="0" w:color="auto"/>
            </w:tcBorders>
            <w:vAlign w:val="center"/>
          </w:tcPr>
          <w:p w:rsidR="0031727F" w:rsidRDefault="0031727F" w:rsidP="00E964F6">
            <w:pPr>
              <w:pStyle w:val="TableText"/>
            </w:pPr>
          </w:p>
        </w:tc>
        <w:tc>
          <w:tcPr>
            <w:tcW w:w="349" w:type="pct"/>
            <w:tcBorders>
              <w:top w:val="nil"/>
              <w:bottom w:val="single" w:sz="4" w:space="0" w:color="auto"/>
            </w:tcBorders>
            <w:vAlign w:val="center"/>
          </w:tcPr>
          <w:p w:rsidR="0031727F" w:rsidRDefault="0031727F" w:rsidP="00E964F6">
            <w:pPr>
              <w:pStyle w:val="TableText"/>
            </w:pPr>
            <w:r>
              <w:t>60</w:t>
            </w:r>
          </w:p>
        </w:tc>
        <w:tc>
          <w:tcPr>
            <w:tcW w:w="349" w:type="pct"/>
            <w:tcBorders>
              <w:top w:val="nil"/>
              <w:bottom w:val="single" w:sz="4" w:space="0" w:color="auto"/>
            </w:tcBorders>
            <w:vAlign w:val="center"/>
          </w:tcPr>
          <w:p w:rsidR="0031727F" w:rsidRDefault="0031727F" w:rsidP="00E964F6">
            <w:pPr>
              <w:pStyle w:val="TableText"/>
            </w:pPr>
            <w:r>
              <w:sym w:font="Symbol" w:char="F02D"/>
            </w:r>
          </w:p>
        </w:tc>
      </w:tr>
      <w:tr w:rsidR="0031727F" w:rsidTr="00E964F6">
        <w:trPr>
          <w:jc w:val="center"/>
        </w:trPr>
        <w:tc>
          <w:tcPr>
            <w:tcW w:w="269" w:type="pct"/>
            <w:vAlign w:val="center"/>
          </w:tcPr>
          <w:p w:rsidR="0031727F" w:rsidRDefault="0031727F" w:rsidP="00E964F6">
            <w:pPr>
              <w:pStyle w:val="TableText"/>
            </w:pPr>
            <w:r>
              <w:t>7</w:t>
            </w:r>
          </w:p>
        </w:tc>
        <w:tc>
          <w:tcPr>
            <w:tcW w:w="269" w:type="pct"/>
            <w:vAlign w:val="center"/>
          </w:tcPr>
          <w:p w:rsidR="0031727F" w:rsidRDefault="0031727F" w:rsidP="00E964F6">
            <w:pPr>
              <w:pStyle w:val="TableText"/>
            </w:pPr>
            <w:r>
              <w:t>16</w:t>
            </w:r>
          </w:p>
        </w:tc>
        <w:tc>
          <w:tcPr>
            <w:tcW w:w="2659" w:type="pct"/>
          </w:tcPr>
          <w:p w:rsidR="0031727F" w:rsidRDefault="0031727F" w:rsidP="00E964F6">
            <w:pPr>
              <w:pStyle w:val="TableText"/>
            </w:pPr>
            <w:r>
              <w:t>Land area protected to maintain biological diversity (%)</w:t>
            </w:r>
          </w:p>
        </w:tc>
        <w:tc>
          <w:tcPr>
            <w:tcW w:w="301" w:type="pct"/>
            <w:vAlign w:val="center"/>
          </w:tcPr>
          <w:p w:rsidR="0031727F" w:rsidRDefault="0031727F" w:rsidP="00E964F6">
            <w:pPr>
              <w:pStyle w:val="TableText"/>
            </w:pPr>
            <w:r>
              <w:t>3.6</w:t>
            </w:r>
          </w:p>
        </w:tc>
        <w:tc>
          <w:tcPr>
            <w:tcW w:w="381" w:type="pct"/>
            <w:gridSpan w:val="3"/>
            <w:vAlign w:val="center"/>
          </w:tcPr>
          <w:p w:rsidR="0031727F" w:rsidRDefault="0031727F" w:rsidP="00E964F6">
            <w:pPr>
              <w:pStyle w:val="TableText"/>
            </w:pPr>
            <w:r>
              <w:t>5.8</w:t>
            </w:r>
          </w:p>
        </w:tc>
        <w:tc>
          <w:tcPr>
            <w:tcW w:w="301" w:type="pct"/>
            <w:vAlign w:val="center"/>
          </w:tcPr>
          <w:p w:rsidR="0031727F" w:rsidRDefault="0031727F" w:rsidP="00E964F6">
            <w:pPr>
              <w:pStyle w:val="TableText"/>
            </w:pPr>
            <w:r>
              <w:t>6.3</w:t>
            </w: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sym w:font="Symbol" w:char="F02D"/>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16</w:t>
            </w:r>
          </w:p>
        </w:tc>
        <w:tc>
          <w:tcPr>
            <w:tcW w:w="2659" w:type="pct"/>
          </w:tcPr>
          <w:p w:rsidR="0031727F" w:rsidRDefault="0031727F" w:rsidP="00E964F6">
            <w:pPr>
              <w:pStyle w:val="TableText"/>
            </w:pPr>
            <w:r>
              <w:t>Land area covered by forests (thousand hectares)</w:t>
            </w:r>
          </w:p>
        </w:tc>
        <w:tc>
          <w:tcPr>
            <w:tcW w:w="301" w:type="pct"/>
            <w:vAlign w:val="center"/>
          </w:tcPr>
          <w:p w:rsidR="0031727F" w:rsidRDefault="0031727F" w:rsidP="00E964F6">
            <w:pPr>
              <w:pStyle w:val="TableText"/>
              <w:rPr>
                <w:vertAlign w:val="superscript"/>
              </w:rPr>
            </w:pPr>
            <w:r>
              <w:t>991</w:t>
            </w:r>
            <w:r>
              <w:rPr>
                <w:vertAlign w:val="superscript"/>
              </w:rPr>
              <w:t>1</w:t>
            </w:r>
          </w:p>
        </w:tc>
        <w:tc>
          <w:tcPr>
            <w:tcW w:w="381" w:type="pct"/>
            <w:gridSpan w:val="3"/>
            <w:vAlign w:val="center"/>
          </w:tcPr>
          <w:p w:rsidR="0031727F" w:rsidRDefault="0031727F" w:rsidP="00E964F6">
            <w:pPr>
              <w:pStyle w:val="TableText"/>
            </w:pP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sym w:font="Symbol" w:char="F02D"/>
            </w:r>
          </w:p>
        </w:tc>
      </w:tr>
      <w:tr w:rsidR="0031727F" w:rsidTr="00E964F6">
        <w:trPr>
          <w:jc w:val="center"/>
        </w:trPr>
        <w:tc>
          <w:tcPr>
            <w:tcW w:w="269" w:type="pct"/>
            <w:vAlign w:val="center"/>
          </w:tcPr>
          <w:p w:rsidR="0031727F" w:rsidRDefault="0031727F" w:rsidP="00E964F6">
            <w:pPr>
              <w:pStyle w:val="TableText"/>
            </w:pPr>
          </w:p>
        </w:tc>
        <w:tc>
          <w:tcPr>
            <w:tcW w:w="269" w:type="pct"/>
            <w:vAlign w:val="center"/>
          </w:tcPr>
          <w:p w:rsidR="0031727F" w:rsidRDefault="0031727F" w:rsidP="00E964F6">
            <w:pPr>
              <w:pStyle w:val="TableText"/>
            </w:pPr>
            <w:r>
              <w:t>17</w:t>
            </w:r>
          </w:p>
        </w:tc>
        <w:tc>
          <w:tcPr>
            <w:tcW w:w="2659" w:type="pct"/>
          </w:tcPr>
          <w:p w:rsidR="0031727F" w:rsidRDefault="0031727F" w:rsidP="00E964F6">
            <w:pPr>
              <w:pStyle w:val="TableText"/>
              <w:rPr>
                <w:vertAlign w:val="superscript"/>
              </w:rPr>
            </w:pPr>
            <w:r>
              <w:t>Population with access to safe drinking water (%)</w:t>
            </w:r>
            <w:r>
              <w:rPr>
                <w:vertAlign w:val="superscript"/>
              </w:rPr>
              <w:t>10</w:t>
            </w:r>
          </w:p>
        </w:tc>
        <w:tc>
          <w:tcPr>
            <w:tcW w:w="301" w:type="pct"/>
            <w:vAlign w:val="center"/>
          </w:tcPr>
          <w:p w:rsidR="0031727F" w:rsidRDefault="0031727F" w:rsidP="00E964F6">
            <w:pPr>
              <w:pStyle w:val="TableText"/>
            </w:pPr>
            <w:r>
              <w:t>69.0</w:t>
            </w:r>
          </w:p>
        </w:tc>
        <w:tc>
          <w:tcPr>
            <w:tcW w:w="381" w:type="pct"/>
            <w:gridSpan w:val="3"/>
            <w:vAlign w:val="center"/>
          </w:tcPr>
          <w:p w:rsidR="0031727F" w:rsidRDefault="0031727F" w:rsidP="00E964F6">
            <w:pPr>
              <w:pStyle w:val="TableText"/>
            </w:pPr>
            <w:r>
              <w:t>75.4</w:t>
            </w:r>
          </w:p>
        </w:tc>
        <w:tc>
          <w:tcPr>
            <w:tcW w:w="301" w:type="pct"/>
            <w:vAlign w:val="center"/>
          </w:tcPr>
          <w:p w:rsidR="0031727F" w:rsidRDefault="0031727F" w:rsidP="00E964F6">
            <w:pPr>
              <w:pStyle w:val="TableText"/>
            </w:pPr>
          </w:p>
        </w:tc>
        <w:tc>
          <w:tcPr>
            <w:tcW w:w="120" w:type="pct"/>
            <w:vAlign w:val="center"/>
          </w:tcPr>
          <w:p w:rsidR="0031727F" w:rsidRDefault="0031727F" w:rsidP="00E964F6">
            <w:pPr>
              <w:pStyle w:val="TableText"/>
            </w:pPr>
          </w:p>
        </w:tc>
        <w:tc>
          <w:tcPr>
            <w:tcW w:w="349" w:type="pct"/>
            <w:vAlign w:val="center"/>
          </w:tcPr>
          <w:p w:rsidR="0031727F" w:rsidRDefault="0031727F" w:rsidP="00E964F6">
            <w:pPr>
              <w:pStyle w:val="TableText"/>
            </w:pPr>
            <w:r>
              <w:sym w:font="Symbol" w:char="F02D"/>
            </w:r>
          </w:p>
        </w:tc>
        <w:tc>
          <w:tcPr>
            <w:tcW w:w="349" w:type="pct"/>
            <w:vAlign w:val="center"/>
          </w:tcPr>
          <w:p w:rsidR="0031727F" w:rsidRDefault="0031727F" w:rsidP="00E964F6">
            <w:pPr>
              <w:pStyle w:val="TableText"/>
            </w:pPr>
            <w:r>
              <w:t>98</w:t>
            </w:r>
          </w:p>
        </w:tc>
      </w:tr>
      <w:tr w:rsidR="0031727F" w:rsidTr="00E964F6">
        <w:trPr>
          <w:jc w:val="center"/>
        </w:trPr>
        <w:tc>
          <w:tcPr>
            <w:tcW w:w="269" w:type="pct"/>
            <w:tcBorders>
              <w:top w:val="nil"/>
            </w:tcBorders>
            <w:vAlign w:val="center"/>
          </w:tcPr>
          <w:p w:rsidR="0031727F" w:rsidRDefault="0031727F" w:rsidP="00E964F6">
            <w:pPr>
              <w:pStyle w:val="TableText"/>
            </w:pPr>
          </w:p>
        </w:tc>
        <w:tc>
          <w:tcPr>
            <w:tcW w:w="269" w:type="pct"/>
            <w:tcBorders>
              <w:top w:val="nil"/>
            </w:tcBorders>
            <w:vAlign w:val="center"/>
          </w:tcPr>
          <w:p w:rsidR="0031727F" w:rsidRDefault="0031727F" w:rsidP="00E964F6">
            <w:pPr>
              <w:pStyle w:val="TableText"/>
            </w:pPr>
            <w:r>
              <w:t>17</w:t>
            </w:r>
          </w:p>
        </w:tc>
        <w:tc>
          <w:tcPr>
            <w:tcW w:w="2659" w:type="pct"/>
            <w:tcBorders>
              <w:top w:val="nil"/>
            </w:tcBorders>
          </w:tcPr>
          <w:p w:rsidR="0031727F" w:rsidRDefault="0031727F" w:rsidP="00E964F6">
            <w:pPr>
              <w:pStyle w:val="TableText"/>
              <w:rPr>
                <w:vertAlign w:val="superscript"/>
              </w:rPr>
            </w:pPr>
            <w:r>
              <w:t>Population with access to improved sanitation (%)</w:t>
            </w:r>
            <w:r>
              <w:rPr>
                <w:vertAlign w:val="superscript"/>
              </w:rPr>
              <w:t>10</w:t>
            </w:r>
          </w:p>
        </w:tc>
        <w:tc>
          <w:tcPr>
            <w:tcW w:w="301" w:type="pct"/>
            <w:tcBorders>
              <w:top w:val="nil"/>
            </w:tcBorders>
            <w:vAlign w:val="center"/>
          </w:tcPr>
          <w:p w:rsidR="0031727F" w:rsidRDefault="0031727F" w:rsidP="00E964F6">
            <w:pPr>
              <w:pStyle w:val="TableText"/>
            </w:pPr>
            <w:r>
              <w:t>63.8</w:t>
            </w:r>
          </w:p>
        </w:tc>
        <w:tc>
          <w:tcPr>
            <w:tcW w:w="381" w:type="pct"/>
            <w:gridSpan w:val="3"/>
            <w:tcBorders>
              <w:top w:val="nil"/>
            </w:tcBorders>
            <w:vAlign w:val="center"/>
          </w:tcPr>
          <w:p w:rsidR="0031727F" w:rsidRDefault="0031727F" w:rsidP="00E964F6">
            <w:pPr>
              <w:pStyle w:val="TableText"/>
            </w:pPr>
            <w:r>
              <w:t>68.3</w:t>
            </w:r>
          </w:p>
        </w:tc>
        <w:tc>
          <w:tcPr>
            <w:tcW w:w="301" w:type="pct"/>
            <w:tcBorders>
              <w:top w:val="nil"/>
            </w:tcBorders>
            <w:vAlign w:val="center"/>
          </w:tcPr>
          <w:p w:rsidR="0031727F" w:rsidRDefault="0031727F" w:rsidP="00E964F6">
            <w:pPr>
              <w:pStyle w:val="TableText"/>
            </w:pPr>
          </w:p>
        </w:tc>
        <w:tc>
          <w:tcPr>
            <w:tcW w:w="120" w:type="pct"/>
            <w:tcBorders>
              <w:top w:val="nil"/>
            </w:tcBorders>
            <w:vAlign w:val="center"/>
          </w:tcPr>
          <w:p w:rsidR="0031727F" w:rsidRDefault="0031727F" w:rsidP="00E964F6">
            <w:pPr>
              <w:pStyle w:val="TableText"/>
            </w:pPr>
          </w:p>
        </w:tc>
        <w:tc>
          <w:tcPr>
            <w:tcW w:w="349" w:type="pct"/>
            <w:tcBorders>
              <w:top w:val="nil"/>
            </w:tcBorders>
            <w:vAlign w:val="center"/>
          </w:tcPr>
          <w:p w:rsidR="0031727F" w:rsidRDefault="0031727F" w:rsidP="00E964F6">
            <w:pPr>
              <w:pStyle w:val="TableText"/>
            </w:pPr>
            <w:r>
              <w:sym w:font="Symbol" w:char="F02D"/>
            </w:r>
          </w:p>
        </w:tc>
        <w:tc>
          <w:tcPr>
            <w:tcW w:w="349" w:type="pct"/>
            <w:tcBorders>
              <w:top w:val="nil"/>
            </w:tcBorders>
            <w:vAlign w:val="center"/>
          </w:tcPr>
          <w:p w:rsidR="0031727F" w:rsidRDefault="0031727F" w:rsidP="00E964F6">
            <w:pPr>
              <w:pStyle w:val="TableText"/>
            </w:pPr>
            <w:r>
              <w:t>95</w:t>
            </w:r>
          </w:p>
        </w:tc>
      </w:tr>
    </w:tbl>
    <w:p w:rsidR="0031727F" w:rsidRDefault="0031727F" w:rsidP="0031727F">
      <w:pPr>
        <w:pStyle w:val="TableFootnote"/>
        <w:jc w:val="both"/>
      </w:pPr>
      <w:r>
        <w:t>* Albania National Report: On progress towards achieving the Millennium Development Goals, 2004</w:t>
      </w:r>
    </w:p>
    <w:p w:rsidR="0031727F" w:rsidRDefault="0031727F" w:rsidP="0031727F">
      <w:pPr>
        <w:pStyle w:val="TableFootnote"/>
        <w:jc w:val="both"/>
      </w:pPr>
      <w:r>
        <w:rPr>
          <w:vertAlign w:val="superscript"/>
        </w:rPr>
        <w:t>1</w:t>
      </w:r>
      <w:r>
        <w:t xml:space="preserve"> 2000; </w:t>
      </w:r>
      <w:r>
        <w:rPr>
          <w:vertAlign w:val="superscript"/>
        </w:rPr>
        <w:t>2</w:t>
      </w:r>
      <w:r>
        <w:t xml:space="preserve"> 2001; </w:t>
      </w:r>
      <w:r>
        <w:rPr>
          <w:vertAlign w:val="superscript"/>
        </w:rPr>
        <w:t>3</w:t>
      </w:r>
      <w:r>
        <w:t xml:space="preserve"> LSMS 15-24 year olds; </w:t>
      </w:r>
      <w:r>
        <w:rPr>
          <w:vertAlign w:val="superscript"/>
        </w:rPr>
        <w:t>4</w:t>
      </w:r>
      <w:r>
        <w:t xml:space="preserve"> Bank of Albania; </w:t>
      </w:r>
      <w:r>
        <w:rPr>
          <w:vertAlign w:val="superscript"/>
        </w:rPr>
        <w:t>5</w:t>
      </w:r>
      <w:r>
        <w:t xml:space="preserve"> Ministry of Transport and Telecommunications; </w:t>
      </w:r>
      <w:r>
        <w:rPr>
          <w:vertAlign w:val="superscript"/>
        </w:rPr>
        <w:t>6</w:t>
      </w:r>
      <w:r>
        <w:t xml:space="preserve"> 2004 Human Development Report; </w:t>
      </w:r>
      <w:r>
        <w:rPr>
          <w:vertAlign w:val="superscript"/>
        </w:rPr>
        <w:t>7</w:t>
      </w:r>
      <w:r>
        <w:t xml:space="preserve"> KESH; </w:t>
      </w:r>
      <w:r>
        <w:rPr>
          <w:vertAlign w:val="superscript"/>
        </w:rPr>
        <w:t>8</w:t>
      </w:r>
      <w:r>
        <w:t xml:space="preserve"> INSTAT; </w:t>
      </w:r>
      <w:r>
        <w:rPr>
          <w:vertAlign w:val="superscript"/>
        </w:rPr>
        <w:t>9</w:t>
      </w:r>
      <w:r>
        <w:t xml:space="preserve"> Ministry of Labour and Social Affairs, Committee for Equal Opportunities; </w:t>
      </w:r>
      <w:r>
        <w:rPr>
          <w:vertAlign w:val="superscript"/>
        </w:rPr>
        <w:t>10</w:t>
      </w:r>
      <w:r>
        <w:t xml:space="preserve"> LSMS</w:t>
      </w:r>
    </w:p>
    <w:p w:rsidR="0031727F" w:rsidRDefault="0031727F" w:rsidP="0031727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1727F" w:rsidTr="00E964F6">
        <w:tc>
          <w:tcPr>
            <w:tcW w:w="9854" w:type="dxa"/>
          </w:tcPr>
          <w:p w:rsidR="0031727F" w:rsidRDefault="0031727F" w:rsidP="00E964F6">
            <w:pPr>
              <w:pStyle w:val="Heading3"/>
              <w:jc w:val="both"/>
            </w:pPr>
            <w:r>
              <w:t>Workshop on the relationship between the NSSED and the MDGs</w:t>
            </w:r>
          </w:p>
          <w:p w:rsidR="0031727F" w:rsidRDefault="0031727F" w:rsidP="00E964F6">
            <w:pPr>
              <w:pStyle w:val="BodyText"/>
            </w:pPr>
            <w:r>
              <w:t>The NSSED Department organised jointly with the UNDP a workshop in May 2005 to discuss the links of the NSSED to the Millennium Development Goals. The workshop was attended by about 80 people, representatives of central and local government, international and local NGOs, community based organisations, and development institutions. There were presentations by the NSSED Department on the future of the NSSED and by UNDP on the decade of bold ambition for MDGs. Roundtable discussions followed on six themes: poverty and hunger; education; gender; health; environment and governance/aid effectiveness.</w:t>
            </w:r>
          </w:p>
          <w:p w:rsidR="0031727F" w:rsidRDefault="0031727F" w:rsidP="00E964F6">
            <w:pPr>
              <w:pStyle w:val="BodyText"/>
            </w:pPr>
            <w:r>
              <w:t>Several participants stressed that the principles and recommendations of the 2005 Millennium Project Report should be fully integrated in the NSSED. Although some of the Albanian development targets are well on track to be achieved, others (such as the proportion of the budget allocated to education) required thorough interventions at both the political and the operational level. Some participants observed that it would be necessary to set more ambitious objectives than the ones currently at the core of the NSSED. A reformulation of targets to balance with Albania’s aspirations of joining the European Union might be necessary. The MDG Needs Assessment methodology proposed by the Millennium Project, which requires a focus on the goals and works backwards to analyse what resources are needed to achieve them, was suggested by some participants.</w:t>
            </w:r>
          </w:p>
          <w:p w:rsidR="0031727F" w:rsidRDefault="0031727F" w:rsidP="00E964F6">
            <w:pPr>
              <w:pStyle w:val="BodyText"/>
            </w:pPr>
            <w:r>
              <w:t>In order for Albania to reach the established targets, the participants called upon all development actors to start investing in quick-win initiatives. While there is still a need for improving governance and absorption capacity, quick win activities can be implemented immediately and without additional capacity building efforts and have proven to be successful before. Furthermore, they can be easily scaled up and replicated if funds are made available. Some examples of quick win initiatives proposed by the working groups included:</w:t>
            </w:r>
          </w:p>
          <w:p w:rsidR="0031727F" w:rsidRDefault="0031727F" w:rsidP="00E964F6">
            <w:pPr>
              <w:pStyle w:val="Listbullet"/>
              <w:jc w:val="both"/>
              <w:rPr>
                <w:lang w:val="en-GB"/>
              </w:rPr>
            </w:pPr>
            <w:r>
              <w:rPr>
                <w:lang w:val="en-GB"/>
              </w:rPr>
              <w:t>provision of school buses where possible;</w:t>
            </w:r>
          </w:p>
          <w:p w:rsidR="0031727F" w:rsidRDefault="0031727F" w:rsidP="00E964F6">
            <w:pPr>
              <w:pStyle w:val="Listbullet"/>
              <w:jc w:val="both"/>
              <w:rPr>
                <w:lang w:val="en-GB"/>
              </w:rPr>
            </w:pPr>
            <w:proofErr w:type="spellStart"/>
            <w:r>
              <w:rPr>
                <w:lang w:val="en-GB"/>
              </w:rPr>
              <w:t>afforestation</w:t>
            </w:r>
            <w:proofErr w:type="spellEnd"/>
            <w:r>
              <w:rPr>
                <w:lang w:val="en-GB"/>
              </w:rPr>
              <w:t>, especially with fast growing species;</w:t>
            </w:r>
          </w:p>
          <w:p w:rsidR="0031727F" w:rsidRDefault="0031727F" w:rsidP="00E964F6">
            <w:pPr>
              <w:pStyle w:val="Listbullet"/>
              <w:jc w:val="both"/>
              <w:rPr>
                <w:lang w:val="en-GB"/>
              </w:rPr>
            </w:pPr>
            <w:r>
              <w:rPr>
                <w:lang w:val="en-GB"/>
              </w:rPr>
              <w:t>promotion of solar panels;</w:t>
            </w:r>
          </w:p>
          <w:p w:rsidR="0031727F" w:rsidRDefault="0031727F" w:rsidP="00E964F6">
            <w:pPr>
              <w:pStyle w:val="Listbullet"/>
              <w:jc w:val="both"/>
              <w:rPr>
                <w:lang w:val="en-GB"/>
              </w:rPr>
            </w:pPr>
            <w:r>
              <w:rPr>
                <w:lang w:val="en-GB"/>
              </w:rPr>
              <w:t>regional systems for waste management;</w:t>
            </w:r>
          </w:p>
          <w:p w:rsidR="0031727F" w:rsidRDefault="0031727F" w:rsidP="00E964F6">
            <w:pPr>
              <w:pStyle w:val="Listbullet"/>
              <w:jc w:val="both"/>
              <w:rPr>
                <w:lang w:val="en-GB"/>
              </w:rPr>
            </w:pPr>
            <w:r>
              <w:rPr>
                <w:lang w:val="en-GB"/>
              </w:rPr>
              <w:t>mobile health clinics for remote areas;</w:t>
            </w:r>
          </w:p>
          <w:p w:rsidR="0031727F" w:rsidRDefault="0031727F" w:rsidP="00E964F6">
            <w:pPr>
              <w:pStyle w:val="Listbullet"/>
              <w:jc w:val="both"/>
              <w:rPr>
                <w:lang w:val="en-GB"/>
              </w:rPr>
            </w:pPr>
            <w:proofErr w:type="gramStart"/>
            <w:r>
              <w:rPr>
                <w:lang w:val="en-GB"/>
              </w:rPr>
              <w:t>one-stop</w:t>
            </w:r>
            <w:proofErr w:type="gramEnd"/>
            <w:r>
              <w:rPr>
                <w:lang w:val="en-GB"/>
              </w:rPr>
              <w:t xml:space="preserve"> shops at institutions providing public services.</w:t>
            </w:r>
          </w:p>
          <w:p w:rsidR="0031727F" w:rsidRDefault="0031727F" w:rsidP="00E964F6">
            <w:pPr>
              <w:pStyle w:val="BodyText"/>
            </w:pPr>
            <w:r>
              <w:t>Finally, based on the Paris Declaration of the High Level Forum on Joint Progress toward Enhanced Aid Effectiveness (Harmonisation, Alignment, and Results), it was concluded that:</w:t>
            </w:r>
          </w:p>
          <w:p w:rsidR="0031727F" w:rsidRDefault="0031727F" w:rsidP="00E964F6">
            <w:pPr>
              <w:pStyle w:val="Listbullet"/>
              <w:jc w:val="both"/>
              <w:rPr>
                <w:lang w:val="en-GB"/>
              </w:rPr>
            </w:pPr>
            <w:r>
              <w:rPr>
                <w:lang w:val="en-GB"/>
              </w:rPr>
              <w:t>donors should respect government priorities, including those of local government;</w:t>
            </w:r>
          </w:p>
          <w:p w:rsidR="0031727F" w:rsidRDefault="0031727F" w:rsidP="00E964F6">
            <w:pPr>
              <w:pStyle w:val="Listbullet"/>
              <w:jc w:val="both"/>
              <w:rPr>
                <w:lang w:val="en-GB"/>
              </w:rPr>
            </w:pPr>
            <w:r>
              <w:rPr>
                <w:lang w:val="en-GB"/>
              </w:rPr>
              <w:t>donors should make use of government systems in aid disbursement;</w:t>
            </w:r>
          </w:p>
          <w:p w:rsidR="0031727F" w:rsidRDefault="0031727F" w:rsidP="00E964F6">
            <w:pPr>
              <w:pStyle w:val="Listbullet"/>
              <w:jc w:val="both"/>
              <w:rPr>
                <w:lang w:val="en-GB"/>
              </w:rPr>
            </w:pPr>
            <w:r>
              <w:rPr>
                <w:lang w:val="en-GB"/>
              </w:rPr>
              <w:t>there should be mechanisms of direct financial support to the implementation of the regional strategies;</w:t>
            </w:r>
          </w:p>
          <w:p w:rsidR="0031727F" w:rsidRDefault="0031727F" w:rsidP="00E964F6">
            <w:pPr>
              <w:pStyle w:val="Listbullet"/>
              <w:jc w:val="both"/>
              <w:rPr>
                <w:lang w:val="en-GB"/>
              </w:rPr>
            </w:pPr>
            <w:proofErr w:type="gramStart"/>
            <w:r>
              <w:rPr>
                <w:lang w:val="en-GB"/>
              </w:rPr>
              <w:t>there</w:t>
            </w:r>
            <w:proofErr w:type="gramEnd"/>
            <w:r>
              <w:rPr>
                <w:lang w:val="en-GB"/>
              </w:rPr>
              <w:t xml:space="preserve"> should be permanent coordination of donors in several fields where information sharing is still weak (e.g. environment).</w:t>
            </w:r>
          </w:p>
        </w:tc>
      </w:tr>
    </w:tbl>
    <w:p w:rsidR="0031727F" w:rsidRDefault="0031727F" w:rsidP="0031727F">
      <w:pPr>
        <w:pStyle w:val="BodyText"/>
      </w:pPr>
    </w:p>
    <w:p w:rsidR="0031727F" w:rsidRDefault="0031727F" w:rsidP="0031727F">
      <w:pPr>
        <w:pStyle w:val="BodyText"/>
      </w:pPr>
      <w:r>
        <w:br w:type="page"/>
      </w:r>
    </w:p>
    <w:p w:rsidR="0031727F" w:rsidRDefault="0031727F" w:rsidP="0031727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1727F" w:rsidTr="00E964F6">
        <w:trPr>
          <w:jc w:val="center"/>
        </w:trPr>
        <w:tc>
          <w:tcPr>
            <w:tcW w:w="9923" w:type="dxa"/>
          </w:tcPr>
          <w:p w:rsidR="0031727F" w:rsidRDefault="0031727F" w:rsidP="00E964F6">
            <w:pPr>
              <w:pStyle w:val="Heading3"/>
              <w:jc w:val="both"/>
            </w:pPr>
            <w:r>
              <w:t>Millennium Development Goal 1: Eradicate extreme poverty, hunger and other dimensions of poverty</w:t>
            </w:r>
          </w:p>
          <w:p w:rsidR="0031727F" w:rsidRDefault="0031727F" w:rsidP="00E964F6">
            <w:pPr>
              <w:pStyle w:val="BlockText"/>
              <w:jc w:val="both"/>
            </w:pPr>
            <w:r>
              <w:t>Target 1: Halve between 2002 and 2015, the proportion of people living in extreme poverty</w:t>
            </w:r>
            <w:r>
              <w:br/>
              <w:t xml:space="preserve">Target 2: Reduce between 2002 and 2015, the proportion of people who suffer from malnutrition </w:t>
            </w:r>
            <w:r>
              <w:br/>
              <w:t>Target 3: Reduce unemployment, between 2002 and 2015, to reach EU standards</w:t>
            </w:r>
            <w:r>
              <w:br/>
              <w:t>Target 4: Establish an open trading and financial system for inclusive economic growth</w:t>
            </w:r>
            <w:r>
              <w:br/>
              <w:t>Target 5: Make information and communication technologies available</w:t>
            </w:r>
            <w:r>
              <w:br/>
              <w:t>Target 6: Increase availability of electricity for all</w:t>
            </w:r>
          </w:p>
          <w:p w:rsidR="0031727F" w:rsidRDefault="0031727F" w:rsidP="00E964F6">
            <w:pPr>
              <w:pStyle w:val="BodyText"/>
            </w:pPr>
            <w:r>
              <w:t>Assuming that the real growth rate will continue at least at 6-6.5% per annum and that a proportional relationship exists between growth and poverty reduction, one may conclude that Albania is on track to achieve the target of halving the population under the absolute poverty line by 2015. The poverty gap indicator is also on track. However, it should be kept in mind that a positive poverty gap is projected for 2015. In addition, the 2002 level (5.7%) is much higher than in some neighbouring countries: Croatia 0.5%, Romania 0.6% and Bulgaria 1.4%.</w:t>
            </w:r>
          </w:p>
          <w:p w:rsidR="0031727F" w:rsidRDefault="0031727F" w:rsidP="00E964F6">
            <w:pPr>
              <w:pStyle w:val="BodyText"/>
            </w:pPr>
            <w:r>
              <w:t>A declining unemployment trend is observed over the last 5-6 years suggesting a gradual recovery of the Albanian economy. Expected levels based on the current trends are well below the MDG levels, implying that Albania is on track to reach both targets.</w:t>
            </w:r>
          </w:p>
          <w:p w:rsidR="0031727F" w:rsidRDefault="0031727F" w:rsidP="00E964F6">
            <w:pPr>
              <w:pStyle w:val="BodyText"/>
            </w:pPr>
            <w:r>
              <w:t>Despite the fact that Albania has reached the target increasing trends in foreign direct investment, the rise does not appear sustainable, as there are large variations across years. In addition, at $57 per capita, the level of investment is very low: the respective figures were $181 in Bulgaria, $440 in Croatia and $125 in South-East European countries on average. The foreign direct investment target is far from being on track.</w:t>
            </w:r>
          </w:p>
          <w:p w:rsidR="0031727F" w:rsidRDefault="0031727F" w:rsidP="00E964F6">
            <w:pPr>
              <w:pStyle w:val="BodyText"/>
            </w:pPr>
            <w:r>
              <w:t xml:space="preserve">The same is true of energy consumption, as Albania lags significantly behind the 10 countries that joined the European Union in 2004, which consume on average 4659 KWh per capita. </w:t>
            </w:r>
          </w:p>
        </w:tc>
      </w:tr>
    </w:tbl>
    <w:p w:rsidR="0031727F" w:rsidRDefault="0031727F" w:rsidP="0031727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1727F" w:rsidTr="00E964F6">
        <w:trPr>
          <w:jc w:val="center"/>
        </w:trPr>
        <w:tc>
          <w:tcPr>
            <w:tcW w:w="9923" w:type="dxa"/>
          </w:tcPr>
          <w:p w:rsidR="0031727F" w:rsidRDefault="0031727F" w:rsidP="00E964F6">
            <w:pPr>
              <w:pStyle w:val="Heading3"/>
              <w:jc w:val="both"/>
            </w:pPr>
            <w:r>
              <w:t>Millennium Development Goal 2: Achieve high quality basic universal education</w:t>
            </w:r>
          </w:p>
          <w:p w:rsidR="0031727F" w:rsidRDefault="0031727F" w:rsidP="00E964F6">
            <w:pPr>
              <w:pStyle w:val="BlockText"/>
              <w:jc w:val="both"/>
            </w:pPr>
            <w:r>
              <w:t>Target 7: Primary school attendance of both boys and girls ensured 100% by 2015</w:t>
            </w:r>
            <w:r>
              <w:br/>
              <w:t>Target 8: Implementation of measures to assure improved quality of primary education</w:t>
            </w:r>
            <w:r>
              <w:br/>
              <w:t>Target 9: Approximation of financial indicators for primary education in line with OECD countries</w:t>
            </w:r>
          </w:p>
          <w:p w:rsidR="0031727F" w:rsidRDefault="0031727F" w:rsidP="00E964F6">
            <w:pPr>
              <w:pStyle w:val="BodyText"/>
            </w:pPr>
            <w:r>
              <w:t>Comparing the actual figures with projections based on a time trends, the net primary education enrolment and dropout rates are not fully on track. There are also substantial inequalities in enrolment rates with the poor and those in rural areas being less likely to attend school, as the 2005 Human Development Report has shown. The largest divergences are observed in the distribution of the education budget. In the 10 countries that became European Union members last year, the share of the education budget allocated to primary education was 35% in 2003. The monitoring system of education indicators could benefit from better coordination.</w:t>
            </w:r>
          </w:p>
        </w:tc>
      </w:tr>
    </w:tbl>
    <w:p w:rsidR="0031727F" w:rsidRDefault="0031727F" w:rsidP="0031727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1727F" w:rsidTr="00E964F6">
        <w:trPr>
          <w:jc w:val="center"/>
        </w:trPr>
        <w:tc>
          <w:tcPr>
            <w:tcW w:w="9923" w:type="dxa"/>
          </w:tcPr>
          <w:p w:rsidR="0031727F" w:rsidRDefault="0031727F" w:rsidP="00E964F6">
            <w:pPr>
              <w:pStyle w:val="Heading3"/>
              <w:jc w:val="both"/>
            </w:pPr>
            <w:r>
              <w:t>Millennium Development Goal 3: Promote gender equality and empower women</w:t>
            </w:r>
          </w:p>
          <w:p w:rsidR="0031727F" w:rsidRDefault="0031727F" w:rsidP="00E964F6">
            <w:pPr>
              <w:pStyle w:val="BlockText"/>
              <w:jc w:val="both"/>
            </w:pPr>
            <w:r>
              <w:t xml:space="preserve">Target 10: Eliminate gender disparities in primary and secondary education preferably by 2005 </w:t>
            </w:r>
            <w:r>
              <w:br/>
              <w:t xml:space="preserve">Target 11: Eliminate gender disparity in elected organs and decision making positions </w:t>
            </w:r>
          </w:p>
          <w:p w:rsidR="0031727F" w:rsidRDefault="0031727F" w:rsidP="00E964F6">
            <w:pPr>
              <w:pStyle w:val="BodyText"/>
            </w:pPr>
            <w:r>
              <w:t xml:space="preserve">The record on eliminating gender disparities in education was mixed last year. There was no progress in primary education. While there was some progress in secondary education, significant </w:t>
            </w:r>
            <w:r>
              <w:lastRenderedPageBreak/>
              <w:t>disparities remain: in rural areas the ratio of boys to girls is 0.82, which makes it questionable whether the target will be met by 2006.</w:t>
            </w:r>
          </w:p>
          <w:p w:rsidR="0031727F" w:rsidRDefault="0031727F" w:rsidP="00E964F6">
            <w:pPr>
              <w:pStyle w:val="BodyText"/>
            </w:pPr>
            <w:r>
              <w:t xml:space="preserve">The very low number of women in the decision-making system is an issue of concern. The latest data on the number of female candidates in the coming parliamentary elections do not appear to show that Albania is on track unless quotas are set in the future.  </w:t>
            </w:r>
          </w:p>
        </w:tc>
      </w:tr>
    </w:tbl>
    <w:p w:rsidR="0031727F" w:rsidRDefault="0031727F" w:rsidP="0031727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1727F" w:rsidTr="00E964F6">
        <w:trPr>
          <w:jc w:val="center"/>
        </w:trPr>
        <w:tc>
          <w:tcPr>
            <w:tcW w:w="9923" w:type="dxa"/>
          </w:tcPr>
          <w:p w:rsidR="0031727F" w:rsidRDefault="0031727F" w:rsidP="00E964F6">
            <w:pPr>
              <w:pStyle w:val="Heading3"/>
              <w:jc w:val="both"/>
            </w:pPr>
            <w:r>
              <w:t>Millennium Development Goal 4: Reduce child mortality</w:t>
            </w:r>
          </w:p>
          <w:p w:rsidR="0031727F" w:rsidRDefault="0031727F" w:rsidP="00E964F6">
            <w:pPr>
              <w:pStyle w:val="BlockText"/>
              <w:jc w:val="both"/>
            </w:pPr>
            <w:r>
              <w:t>Target 12: Reduce the under-5 mortality rate by 10/1000 by 2015</w:t>
            </w:r>
          </w:p>
          <w:p w:rsidR="0031727F" w:rsidRDefault="0031727F" w:rsidP="00E964F6">
            <w:pPr>
              <w:pStyle w:val="BodyText"/>
            </w:pPr>
            <w:r>
              <w:t>Albania has made good progress towards meeting the targets. Since 1990, the child mortality rate has dropped by half, from 42 to 21 deaths per 1000 live births in 2002. The infant mortality rate has also fallen from 28 to 17.3 deaths per 1000 live births in 2002. However, prenatal deaths have increased from 12.5 to 14.1 deaths in 2001. An extended immunisation programme has been established in recent years, which has resulted in a high level of childhood immunisation (more than 90%), which has considerably reduced the infant mortality rate from infectious diseases.</w:t>
            </w:r>
          </w:p>
          <w:p w:rsidR="0031727F" w:rsidRDefault="0031727F" w:rsidP="00E964F6">
            <w:pPr>
              <w:pStyle w:val="BodyText"/>
            </w:pPr>
            <w:r>
              <w:t>Malnutrition, especially in rural and suburban areas, has a considerable impact on child mortality. Although figures remain alarming, an improvement of the malnutrition prevalence in the children 0-3 years old has been observed in recent years. Breastfeeding has been and, generally, continues to be a tradition in Albania. Approximately 61% of all 3-month-old babies seem to be breastfed (compared to the European average of 60%). It should be stressed that there are significant concerns about the data on child mortality. Under-reporting of infant mortality is suspected in rural remote areas.</w:t>
            </w:r>
          </w:p>
        </w:tc>
      </w:tr>
    </w:tbl>
    <w:p w:rsidR="0031727F" w:rsidRDefault="0031727F" w:rsidP="0031727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1727F" w:rsidTr="00E964F6">
        <w:trPr>
          <w:jc w:val="center"/>
        </w:trPr>
        <w:tc>
          <w:tcPr>
            <w:tcW w:w="9923" w:type="dxa"/>
          </w:tcPr>
          <w:p w:rsidR="0031727F" w:rsidRDefault="0031727F" w:rsidP="00E964F6">
            <w:pPr>
              <w:pStyle w:val="Heading3"/>
              <w:jc w:val="both"/>
            </w:pPr>
            <w:r>
              <w:t>Millennium Development Goal 5: Improve maternal health</w:t>
            </w:r>
          </w:p>
          <w:p w:rsidR="0031727F" w:rsidRDefault="0031727F" w:rsidP="00E964F6">
            <w:pPr>
              <w:pStyle w:val="BlockText"/>
              <w:jc w:val="both"/>
            </w:pPr>
            <w:r>
              <w:t>Target 13: Reduce the maternal mortality rate by half by 2015</w:t>
            </w:r>
          </w:p>
          <w:p w:rsidR="0031727F" w:rsidRDefault="0031727F" w:rsidP="00E964F6">
            <w:pPr>
              <w:pStyle w:val="BodyText"/>
            </w:pPr>
            <w:r>
              <w:t xml:space="preserve">Since 1990, the maternal mortality rate has decreased from 37.7 to 22.7 deaths per 1000 live births in 2001. Maternal mortality is higher in rural areas, especially in the northeast where the indicator is 5-6 times higher than the national average. The decline in the prevalence of abortion by 24% in the 1990s and the reduction of births per woman by almost half (from 3.9 births per woman in 1990 to 2.1 births in 2001) over the same period have been important factors. Abortions, haemorrhages, </w:t>
            </w:r>
            <w:proofErr w:type="spellStart"/>
            <w:r>
              <w:t>eclampsia</w:t>
            </w:r>
            <w:proofErr w:type="spellEnd"/>
            <w:r>
              <w:t>, complications from anaesthesia and infections rank among the major causes of maternal mortality.</w:t>
            </w:r>
          </w:p>
          <w:p w:rsidR="0031727F" w:rsidRDefault="0031727F" w:rsidP="00E964F6">
            <w:pPr>
              <w:pStyle w:val="BodyText"/>
            </w:pPr>
            <w:r>
              <w:t xml:space="preserve">Although Albania is on track to meet the target on improving maternal health, it should be stressed that these are not sufficiently ambitious: the Albanian target for 2015 is almost double the current average rate in the European Union (6%) and even higher than the rate in the 10 new member-states (8%). </w:t>
            </w:r>
          </w:p>
        </w:tc>
      </w:tr>
    </w:tbl>
    <w:p w:rsidR="0031727F" w:rsidRDefault="0031727F" w:rsidP="0031727F">
      <w:pPr>
        <w:pStyle w:val="BodyText"/>
      </w:pPr>
    </w:p>
    <w:p w:rsidR="0031727F" w:rsidRDefault="0031727F" w:rsidP="0031727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1727F" w:rsidTr="00E964F6">
        <w:trPr>
          <w:jc w:val="center"/>
        </w:trPr>
        <w:tc>
          <w:tcPr>
            <w:tcW w:w="9923" w:type="dxa"/>
          </w:tcPr>
          <w:p w:rsidR="0031727F" w:rsidRDefault="0031727F" w:rsidP="00E964F6">
            <w:pPr>
              <w:pStyle w:val="Heading3"/>
              <w:jc w:val="both"/>
            </w:pPr>
            <w:r>
              <w:t>Millennium Development Goal 6: Combat HIV/AIDS and tuberculosis</w:t>
            </w:r>
          </w:p>
          <w:p w:rsidR="0031727F" w:rsidRDefault="0031727F" w:rsidP="00E964F6">
            <w:pPr>
              <w:pStyle w:val="BlockText"/>
              <w:jc w:val="both"/>
            </w:pPr>
            <w:r>
              <w:t>Target 14: Halt and reverse the incidence of the HIV/AIDS virus by 2015</w:t>
            </w:r>
            <w:r>
              <w:br/>
              <w:t>Target 15: Halt and reverse the tuberculosis notification rate by 2015</w:t>
            </w:r>
          </w:p>
          <w:p w:rsidR="0031727F" w:rsidRDefault="0031727F" w:rsidP="00E964F6">
            <w:pPr>
              <w:pStyle w:val="BodyText"/>
            </w:pPr>
            <w:r>
              <w:lastRenderedPageBreak/>
              <w:t>Albania is considered to be a low prevalence HIV/AIDS country, with no outbreaks of the disease recorded. By the end of 2003, 117 cases of persons infected with HIV/AIDS had been reported, out of which 42 had developed AIDS and 37 had died. The main determinant of the epidemic appears to be unprotected sex, as approximately 90% of the cases were infected this way. About 70% of the diagnosed persons are believed to have been infected during a stay abroad. Although the rate of diagnosed cases by sex in the mid-1990s was almost 4 men to a woman, it has almost equalised in the last 2 years.</w:t>
            </w:r>
          </w:p>
          <w:p w:rsidR="0031727F" w:rsidRDefault="0031727F" w:rsidP="00E964F6">
            <w:pPr>
              <w:pStyle w:val="BodyText"/>
            </w:pPr>
            <w:r>
              <w:rPr>
                <w:noProof/>
              </w:rPr>
              <w:drawing>
                <wp:inline distT="0" distB="0" distL="0" distR="0">
                  <wp:extent cx="538861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88610" cy="2438400"/>
                          </a:xfrm>
                          <a:prstGeom prst="rect">
                            <a:avLst/>
                          </a:prstGeom>
                          <a:noFill/>
                          <a:ln w="9525">
                            <a:noFill/>
                            <a:miter lim="800000"/>
                            <a:headEnd/>
                            <a:tailEnd/>
                          </a:ln>
                        </pic:spPr>
                      </pic:pic>
                    </a:graphicData>
                  </a:graphic>
                </wp:inline>
              </w:drawing>
            </w:r>
          </w:p>
          <w:p w:rsidR="0031727F" w:rsidRDefault="0031727F" w:rsidP="00E964F6">
            <w:pPr>
              <w:pStyle w:val="TableFootnote"/>
              <w:jc w:val="both"/>
            </w:pPr>
            <w:r>
              <w:t>Source: HIV/AIDS Surveillance in Europe, European Centre for the Epidemiological Monitoring of AIDS (</w:t>
            </w:r>
            <w:proofErr w:type="spellStart"/>
            <w:r>
              <w:t>EuroHIV</w:t>
            </w:r>
            <w:proofErr w:type="spellEnd"/>
            <w:r>
              <w:t>), End-year report, November 2004</w:t>
            </w:r>
          </w:p>
          <w:p w:rsidR="0031727F" w:rsidRDefault="0031727F" w:rsidP="00E964F6">
            <w:pPr>
              <w:pStyle w:val="BodyText"/>
            </w:pPr>
            <w:r>
              <w:t>The number of HIV infected persons in Albania is estimated by different specialists to exceed the number of officially reported cases. Stigmatisation and other cultural factors still undermine HIV related statistics in Albania. The establishment of a comprehensive management information system for HIV/AIDS should be considered a priority by the government. A July 2003 estimate using the SPECTRUM programme, developed by WHO and UNAIDS, raises the numbers of infected persons in Albania to between 400 and 700. In the absence of efficient intervention, the number of infected persons could rise to 4000 by 2010. The vulnerability to HIV/AIDS in Albania is a result of several factors such as the high proportion of young population, lack of knowledge and awareness especially in rural areas, increased mobility of population (especially visits abroad), and an increased number of drug users and commercial sex workers.</w:t>
            </w:r>
          </w:p>
          <w:p w:rsidR="0031727F" w:rsidRDefault="0031727F" w:rsidP="00E964F6">
            <w:pPr>
              <w:pStyle w:val="BodyText"/>
            </w:pPr>
            <w:r>
              <w:t>Tuberculosis is perceived as a public health threat despite the fact that the notification rate is only 20/100,000. In 2002, a total of 612 patients were registered. Out of these, 571 were new and 28 were relapsed; 225 cases started the treatment. The mortality rate was 4.5% among the cases treated.</w:t>
            </w:r>
          </w:p>
        </w:tc>
      </w:tr>
    </w:tbl>
    <w:p w:rsidR="0031727F" w:rsidRDefault="0031727F" w:rsidP="0031727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1727F" w:rsidTr="00E964F6">
        <w:trPr>
          <w:jc w:val="center"/>
        </w:trPr>
        <w:tc>
          <w:tcPr>
            <w:tcW w:w="9923" w:type="dxa"/>
          </w:tcPr>
          <w:p w:rsidR="0031727F" w:rsidRDefault="0031727F" w:rsidP="00E964F6">
            <w:pPr>
              <w:pStyle w:val="Heading3"/>
              <w:jc w:val="both"/>
            </w:pPr>
            <w:r>
              <w:t>Millennium Development Goal 7: Ensure sustainable environmental development</w:t>
            </w:r>
          </w:p>
          <w:p w:rsidR="0031727F" w:rsidRDefault="0031727F" w:rsidP="00E964F6">
            <w:pPr>
              <w:pStyle w:val="BlockText"/>
            </w:pPr>
            <w:r>
              <w:t>Target 16: Integrate the principles of sustainable development into country policies and programmes and reverse the loss of environmental resources</w:t>
            </w:r>
            <w:r>
              <w:br/>
              <w:t>Target 17: Reduce the proportion of people without access to safe drinking water and proper sewage infrastructure</w:t>
            </w:r>
          </w:p>
          <w:p w:rsidR="0031727F" w:rsidRDefault="0031727F" w:rsidP="00E964F6">
            <w:pPr>
              <w:pStyle w:val="BodyText"/>
            </w:pPr>
            <w:r>
              <w:t xml:space="preserve">Forest coverage fell by 8% in the 1990s (from 1.07 million hectares in 1990 to 0.99 hectares or 37% of the total area in 2000) compared to an increase of 4% in the 1980s. Forests have been over-utilised. Limited financial resources for their management have resulted in insufficient </w:t>
            </w:r>
            <w:r>
              <w:lastRenderedPageBreak/>
              <w:t>control over logging, grazing, and occupation. On the other hand, the total area protected for biological diversity has increased in recent years.</w:t>
            </w:r>
          </w:p>
          <w:p w:rsidR="0031727F" w:rsidRDefault="0031727F" w:rsidP="00E964F6">
            <w:pPr>
              <w:pStyle w:val="BodyText"/>
            </w:pPr>
            <w:r>
              <w:t xml:space="preserve">Although air pollution is not monitored comprehensively, it is generally believed that the level of pollutants is quite high, especially in urban centres, and the levels of nitrogen oxides and sulphur dioxide have doubled in the second half of the 1990s. Major sources of air pollution include oil extraction and refining, domestic </w:t>
            </w:r>
            <w:proofErr w:type="gramStart"/>
            <w:r>
              <w:t>heating,</w:t>
            </w:r>
            <w:proofErr w:type="gramEnd"/>
            <w:r>
              <w:t xml:space="preserve"> cement production, unregulated garbage burning and road transport.</w:t>
            </w:r>
          </w:p>
          <w:p w:rsidR="0031727F" w:rsidRDefault="0031727F" w:rsidP="00E964F6">
            <w:pPr>
              <w:pStyle w:val="BodyText"/>
            </w:pPr>
            <w:r>
              <w:t>The situation regarding drinking water and sewage system remains problematic. Despite improvements between 2002 and 2003, access to drinking water is low and it is lower for the poor (57%) rather than the non-poor (70%) according to the 2003 LSMS.</w:t>
            </w:r>
          </w:p>
        </w:tc>
      </w:tr>
    </w:tbl>
    <w:p w:rsidR="0031727F" w:rsidRDefault="0031727F" w:rsidP="0031727F">
      <w:pPr>
        <w:pStyle w:val="BodyText"/>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31727F" w:rsidTr="00E964F6">
        <w:trPr>
          <w:jc w:val="center"/>
        </w:trPr>
        <w:tc>
          <w:tcPr>
            <w:tcW w:w="9923" w:type="dxa"/>
          </w:tcPr>
          <w:p w:rsidR="0031727F" w:rsidRDefault="0031727F" w:rsidP="00E964F6">
            <w:pPr>
              <w:pStyle w:val="Heading3"/>
              <w:jc w:val="both"/>
            </w:pPr>
            <w:r>
              <w:t>Millennium Development Goal 9: Establish and strengthen a good governance process</w:t>
            </w:r>
          </w:p>
          <w:p w:rsidR="0031727F" w:rsidRDefault="0031727F" w:rsidP="00E964F6">
            <w:pPr>
              <w:pStyle w:val="BlockText"/>
              <w:jc w:val="both"/>
            </w:pPr>
            <w:r>
              <w:t>Target 19: Reform overall state systems of public administration, legislation and policies in accordance with EU standards of justice, rule of law, and market economies by 2015.</w:t>
            </w:r>
          </w:p>
          <w:p w:rsidR="0031727F" w:rsidRDefault="0031727F" w:rsidP="00E964F6">
            <w:pPr>
              <w:pStyle w:val="BodyText"/>
            </w:pPr>
            <w:r>
              <w:t>Good governance is one of the highest priorities for the government. Indeed, Albania is the only country in the world that has considered the governance targets as a ninth MDG. Monitoring of progress relies on the governance indicators published every 2 years by the World Bank. There is no formal domestic system of monitoring governance but monitoring the implementation of the Action Plan could be a substitute. The government has fulfilled 60% of the measures included in the Anti-Corruption Action Plan. Alternatively, a system of outcome or second tier indicators that could be specific and sensitive to policy actions in the short term could be considered.</w:t>
            </w:r>
          </w:p>
        </w:tc>
      </w:tr>
    </w:tbl>
    <w:p w:rsidR="0031727F" w:rsidRDefault="0031727F" w:rsidP="0031727F">
      <w:pPr>
        <w:pStyle w:val="BodyText"/>
      </w:pPr>
    </w:p>
    <w:p w:rsidR="0031727F" w:rsidRDefault="0031727F" w:rsidP="0031727F">
      <w:pPr>
        <w:pStyle w:val="BodyText"/>
      </w:pPr>
    </w:p>
    <w:p w:rsidR="00C43527" w:rsidRDefault="00C43527"/>
    <w:sectPr w:rsidR="00C43527" w:rsidSect="00C4352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FB" w:rsidRDefault="000F7FFB" w:rsidP="0031727F">
      <w:pPr>
        <w:spacing w:after="0"/>
      </w:pPr>
      <w:r>
        <w:separator/>
      </w:r>
    </w:p>
  </w:endnote>
  <w:endnote w:type="continuationSeparator" w:id="0">
    <w:p w:rsidR="000F7FFB" w:rsidRDefault="000F7FFB" w:rsidP="003172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FB" w:rsidRDefault="000F7FFB" w:rsidP="0031727F">
      <w:pPr>
        <w:spacing w:after="0"/>
      </w:pPr>
      <w:r>
        <w:separator/>
      </w:r>
    </w:p>
  </w:footnote>
  <w:footnote w:type="continuationSeparator" w:id="0">
    <w:p w:rsidR="000F7FFB" w:rsidRDefault="000F7FFB" w:rsidP="003172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7F" w:rsidRPr="00461EA6" w:rsidRDefault="0031727F" w:rsidP="0031727F">
    <w:pPr>
      <w:pStyle w:val="Header"/>
    </w:pPr>
    <w:r w:rsidRPr="00461EA6">
      <w:t xml:space="preserve">Albania: </w:t>
    </w:r>
    <w:r>
      <w:t>Monitoring and Evaluation</w:t>
    </w:r>
    <w:r w:rsidRPr="00461EA6">
      <w:t xml:space="preserve"> of the NSSED</w:t>
    </w:r>
    <w:r w:rsidRPr="00461EA6">
      <w:tab/>
    </w:r>
    <w:r w:rsidRPr="00461EA6">
      <w:tab/>
    </w:r>
    <w:r>
      <w:t>2001</w:t>
    </w:r>
    <w:r w:rsidRPr="00461EA6">
      <w:t xml:space="preserve"> - 200</w:t>
    </w:r>
    <w:r>
      <w:t>6</w:t>
    </w:r>
  </w:p>
  <w:p w:rsidR="0031727F" w:rsidRDefault="0031727F" w:rsidP="0031727F">
    <w:pPr>
      <w:pStyle w:val="Header"/>
    </w:pPr>
  </w:p>
  <w:p w:rsidR="0031727F" w:rsidRDefault="00317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31727F"/>
    <w:rsid w:val="000F7FFB"/>
    <w:rsid w:val="0031727F"/>
    <w:rsid w:val="0040503A"/>
    <w:rsid w:val="00437A91"/>
    <w:rsid w:val="00AA4F34"/>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7F"/>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31727F"/>
    <w:pPr>
      <w:tabs>
        <w:tab w:val="left" w:pos="4962"/>
      </w:tabs>
      <w:jc w:val="both"/>
    </w:pPr>
    <w:rPr>
      <w:sz w:val="22"/>
    </w:rPr>
  </w:style>
  <w:style w:type="character" w:customStyle="1" w:styleId="BodyTextChar">
    <w:name w:val="Body Text Char"/>
    <w:basedOn w:val="DefaultParagraphFont"/>
    <w:link w:val="BodyText"/>
    <w:rsid w:val="0031727F"/>
    <w:rPr>
      <w:rFonts w:ascii="Trebuchet MS" w:eastAsia="Times New Roman" w:hAnsi="Trebuchet MS" w:cs="Times New Roman"/>
      <w:szCs w:val="20"/>
      <w:lang w:val="en-GB" w:eastAsia="en-GB" w:bidi="ar-SA"/>
    </w:rPr>
  </w:style>
  <w:style w:type="paragraph" w:styleId="BlockText">
    <w:name w:val="Block Text"/>
    <w:basedOn w:val="Normal"/>
    <w:rsid w:val="0031727F"/>
    <w:pPr>
      <w:ind w:left="284" w:right="284"/>
    </w:pPr>
    <w:rPr>
      <w:rFonts w:eastAsia="Times"/>
      <w:color w:val="000000"/>
    </w:rPr>
  </w:style>
  <w:style w:type="paragraph" w:customStyle="1" w:styleId="Table">
    <w:name w:val="Table"/>
    <w:basedOn w:val="Normal"/>
    <w:next w:val="BodyText"/>
    <w:rsid w:val="0031727F"/>
    <w:pPr>
      <w:keepNext/>
      <w:tabs>
        <w:tab w:val="num" w:pos="1008"/>
      </w:tabs>
      <w:spacing w:before="360"/>
      <w:ind w:left="1008" w:hanging="1008"/>
    </w:pPr>
    <w:rPr>
      <w:b/>
      <w:sz w:val="24"/>
    </w:rPr>
  </w:style>
  <w:style w:type="paragraph" w:customStyle="1" w:styleId="Figure">
    <w:name w:val="Figure"/>
    <w:basedOn w:val="Table"/>
    <w:next w:val="BodyText"/>
    <w:rsid w:val="0031727F"/>
    <w:pPr>
      <w:tabs>
        <w:tab w:val="clear" w:pos="1008"/>
        <w:tab w:val="num" w:pos="1152"/>
      </w:tabs>
      <w:ind w:left="1152" w:hanging="1152"/>
    </w:pPr>
    <w:rPr>
      <w:lang w:eastAsia="en-US"/>
    </w:rPr>
  </w:style>
  <w:style w:type="paragraph" w:customStyle="1" w:styleId="SectionNUM">
    <w:name w:val="Section NUM"/>
    <w:next w:val="Heading1"/>
    <w:rsid w:val="0031727F"/>
    <w:pPr>
      <w:keepNext/>
      <w:pageBreakBefore/>
      <w:numPr>
        <w:numId w:val="1"/>
      </w:numPr>
      <w:spacing w:after="240" w:line="240" w:lineRule="auto"/>
    </w:pPr>
    <w:rPr>
      <w:rFonts w:ascii="Trebuchet MS" w:eastAsia="Times New Roman" w:hAnsi="Trebuchet MS" w:cs="Times New Roman"/>
      <w:b/>
      <w:kern w:val="32"/>
      <w:sz w:val="36"/>
      <w:szCs w:val="20"/>
      <w:lang w:val="en-GB" w:bidi="ar-SA"/>
    </w:rPr>
  </w:style>
  <w:style w:type="paragraph" w:customStyle="1" w:styleId="TableText">
    <w:name w:val="Table Text"/>
    <w:basedOn w:val="BodyText"/>
    <w:rsid w:val="0031727F"/>
    <w:pPr>
      <w:tabs>
        <w:tab w:val="clear" w:pos="4962"/>
      </w:tabs>
      <w:spacing w:before="40" w:after="40"/>
    </w:pPr>
    <w:rPr>
      <w:sz w:val="18"/>
      <w:lang w:eastAsia="en-US"/>
    </w:rPr>
  </w:style>
  <w:style w:type="paragraph" w:customStyle="1" w:styleId="Listbullet">
    <w:name w:val="List bullet"/>
    <w:basedOn w:val="Normal"/>
    <w:rsid w:val="0031727F"/>
    <w:pPr>
      <w:numPr>
        <w:numId w:val="1"/>
      </w:numPr>
      <w:spacing w:after="120"/>
    </w:pPr>
    <w:rPr>
      <w:sz w:val="22"/>
      <w:lang w:val="en-US" w:eastAsia="zh-CN"/>
    </w:rPr>
  </w:style>
  <w:style w:type="paragraph" w:customStyle="1" w:styleId="TableFootnote">
    <w:name w:val="Table Footnote"/>
    <w:basedOn w:val="Normal"/>
    <w:rsid w:val="0031727F"/>
    <w:pPr>
      <w:spacing w:before="80"/>
      <w:contextualSpacing/>
    </w:pPr>
    <w:rPr>
      <w:sz w:val="18"/>
    </w:rPr>
  </w:style>
  <w:style w:type="paragraph" w:styleId="BalloonText">
    <w:name w:val="Balloon Text"/>
    <w:basedOn w:val="Normal"/>
    <w:link w:val="BalloonTextChar"/>
    <w:uiPriority w:val="99"/>
    <w:semiHidden/>
    <w:unhideWhenUsed/>
    <w:rsid w:val="003172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7F"/>
    <w:rPr>
      <w:rFonts w:ascii="Tahoma" w:eastAsia="Times New Roman" w:hAnsi="Tahoma" w:cs="Tahoma"/>
      <w:sz w:val="16"/>
      <w:szCs w:val="16"/>
      <w:lang w:val="en-GB" w:eastAsia="en-GB" w:bidi="ar-SA"/>
    </w:rPr>
  </w:style>
  <w:style w:type="paragraph" w:styleId="Header">
    <w:name w:val="header"/>
    <w:basedOn w:val="Normal"/>
    <w:link w:val="HeaderChar"/>
    <w:uiPriority w:val="99"/>
    <w:semiHidden/>
    <w:unhideWhenUsed/>
    <w:rsid w:val="0031727F"/>
    <w:pPr>
      <w:tabs>
        <w:tab w:val="center" w:pos="4513"/>
        <w:tab w:val="right" w:pos="9026"/>
      </w:tabs>
      <w:spacing w:after="0"/>
    </w:pPr>
  </w:style>
  <w:style w:type="character" w:customStyle="1" w:styleId="HeaderChar">
    <w:name w:val="Header Char"/>
    <w:basedOn w:val="DefaultParagraphFont"/>
    <w:link w:val="Header"/>
    <w:uiPriority w:val="99"/>
    <w:semiHidden/>
    <w:rsid w:val="0031727F"/>
    <w:rPr>
      <w:rFonts w:ascii="Trebuchet MS" w:eastAsia="Times New Roman" w:hAnsi="Trebuchet MS" w:cs="Times New Roman"/>
      <w:sz w:val="20"/>
      <w:szCs w:val="20"/>
      <w:lang w:val="en-GB" w:eastAsia="en-GB" w:bidi="ar-SA"/>
    </w:rPr>
  </w:style>
  <w:style w:type="paragraph" w:styleId="Footer">
    <w:name w:val="footer"/>
    <w:basedOn w:val="Normal"/>
    <w:link w:val="FooterChar"/>
    <w:uiPriority w:val="99"/>
    <w:semiHidden/>
    <w:unhideWhenUsed/>
    <w:rsid w:val="0031727F"/>
    <w:pPr>
      <w:tabs>
        <w:tab w:val="center" w:pos="4513"/>
        <w:tab w:val="right" w:pos="9026"/>
      </w:tabs>
      <w:spacing w:after="0"/>
    </w:pPr>
  </w:style>
  <w:style w:type="character" w:customStyle="1" w:styleId="FooterChar">
    <w:name w:val="Footer Char"/>
    <w:basedOn w:val="DefaultParagraphFont"/>
    <w:link w:val="Footer"/>
    <w:uiPriority w:val="99"/>
    <w:semiHidden/>
    <w:rsid w:val="0031727F"/>
    <w:rPr>
      <w:rFonts w:ascii="Trebuchet MS" w:eastAsia="Times New Roman" w:hAnsi="Trebuchet MS" w:cs="Times New Roman"/>
      <w:sz w:val="20"/>
      <w:szCs w:val="20"/>
      <w:lang w:val="en-GB" w:eastAsia="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3530</Words>
  <Characters>20123</Characters>
  <Application>Microsoft Office Word</Application>
  <DocSecurity>0</DocSecurity>
  <Lines>167</Lines>
  <Paragraphs>47</Paragraphs>
  <ScaleCrop>false</ScaleCrop>
  <Company/>
  <LinksUpToDate>false</LinksUpToDate>
  <CharactersWithSpaces>23606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2014-03-25T21:12:00Z</dcterms:created>
  <dcterms:modified xsi:type="dcterms:W3CDTF">2014-03-25T21:14:00Z</dcterms:modified>
</cp:coreProperties>
</file>