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07" w:rsidRDefault="00596407" w:rsidP="00596407">
      <w:pPr>
        <w:pStyle w:val="AnnexSection"/>
        <w:numPr>
          <w:ilvl w:val="0"/>
          <w:numId w:val="0"/>
        </w:numPr>
        <w:ind w:left="432"/>
        <w:jc w:val="both"/>
      </w:pPr>
      <w:bookmarkStart w:id="0" w:name="_Ref104648956"/>
      <w:bookmarkStart w:id="1" w:name="_Toc109495224"/>
      <w:r>
        <w:t>Mid-term plan of priority actions</w:t>
      </w:r>
      <w:bookmarkEnd w:id="0"/>
      <w:bookmarkEnd w:id="1"/>
    </w:p>
    <w:p w:rsidR="00596407" w:rsidRDefault="00596407" w:rsidP="00596407">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596407" w:rsidRDefault="00596407" w:rsidP="00596407">
      <w:pPr>
        <w:pStyle w:val="BodyText"/>
      </w:pPr>
      <w:r>
        <w:rPr>
          <w:b/>
        </w:rPr>
        <w:t>Programme Policy Review</w:t>
      </w:r>
      <w:r>
        <w:t xml:space="preserve"> Ministries describe policy goals and objectives for each programme.</w:t>
      </w:r>
    </w:p>
    <w:p w:rsidR="00596407" w:rsidRDefault="00596407" w:rsidP="00596407">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596407" w:rsidRDefault="00596407" w:rsidP="00596407">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596407" w:rsidRDefault="00596407" w:rsidP="00596407">
      <w:pPr>
        <w:pStyle w:val="Listbullet"/>
        <w:jc w:val="both"/>
        <w:rPr>
          <w:lang w:val="en-GB"/>
        </w:rPr>
      </w:pPr>
      <w:r>
        <w:rPr>
          <w:lang w:val="en-GB"/>
        </w:rPr>
        <w:t xml:space="preserve">identified and described each of their expenditure programmes; </w:t>
      </w:r>
    </w:p>
    <w:p w:rsidR="00596407" w:rsidRDefault="00596407" w:rsidP="00596407">
      <w:pPr>
        <w:pStyle w:val="Listbullet"/>
        <w:jc w:val="both"/>
        <w:rPr>
          <w:lang w:val="en-GB"/>
        </w:rPr>
      </w:pPr>
      <w:r>
        <w:rPr>
          <w:lang w:val="en-GB"/>
        </w:rPr>
        <w:t>reviewed the policies relating to each expenditure programme to ensure that a programme policy statement can be written (or revised);</w:t>
      </w:r>
    </w:p>
    <w:p w:rsidR="00596407" w:rsidRDefault="00596407" w:rsidP="00596407">
      <w:pPr>
        <w:pStyle w:val="Listbullet"/>
        <w:jc w:val="both"/>
        <w:rPr>
          <w:lang w:val="en-GB"/>
        </w:rPr>
      </w:pPr>
      <w:r>
        <w:rPr>
          <w:lang w:val="en-GB"/>
        </w:rPr>
        <w:t>reviewed the policies so that they are consistent with and reflect wider national policies (NSSED, European integration, NATO accession); and</w:t>
      </w:r>
    </w:p>
    <w:p w:rsidR="00596407" w:rsidRDefault="00596407" w:rsidP="00596407">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596407" w:rsidRDefault="00596407" w:rsidP="00596407">
      <w:pPr>
        <w:pStyle w:val="BodyText"/>
      </w:pPr>
      <w:r>
        <w:t>The NSSED Department took part in the process through the MTBP Secretariat and reviews of the line ministry inputs for consistency with the national strategy.</w:t>
      </w:r>
    </w:p>
    <w:p w:rsidR="00596407" w:rsidRDefault="00596407" w:rsidP="00596407">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596407" w:rsidRDefault="00596407" w:rsidP="00596407">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596407" w:rsidRDefault="00596407" w:rsidP="00596407">
      <w:pPr>
        <w:pStyle w:val="AnnexSection"/>
        <w:numPr>
          <w:ilvl w:val="0"/>
          <w:numId w:val="0"/>
        </w:numPr>
        <w:ind w:left="432" w:hanging="432"/>
        <w:sectPr w:rsidR="00596407">
          <w:headerReference w:type="default" r:id="rId7"/>
          <w:footerReference w:type="default" r:id="rId8"/>
          <w:pgSz w:w="11906" w:h="16838" w:code="9"/>
          <w:pgMar w:top="1134" w:right="1134" w:bottom="1134" w:left="1134" w:header="431" w:footer="301" w:gutter="0"/>
          <w:pgNumType w:start="1"/>
          <w:cols w:space="720"/>
        </w:sectPr>
      </w:pPr>
    </w:p>
    <w:p w:rsidR="00596407" w:rsidRDefault="00596407" w:rsidP="00596407">
      <w:pPr>
        <w:pStyle w:val="AnnexH1"/>
      </w:pPr>
      <w:r>
        <w:lastRenderedPageBreak/>
        <w:t>Ministry of Industry and Energy</w:t>
      </w:r>
    </w:p>
    <w:p w:rsidR="00596407" w:rsidRDefault="00596407" w:rsidP="00596407">
      <w:pPr>
        <w:pStyle w:val="BodyText"/>
      </w:pPr>
      <w:r>
        <w:t>Programme 1: Planning, management and administration</w:t>
      </w:r>
    </w:p>
    <w:p w:rsidR="00596407" w:rsidRDefault="00596407" w:rsidP="00596407">
      <w:pPr>
        <w:pStyle w:val="BodyText"/>
      </w:pPr>
      <w:r>
        <w:t>Policy objective: Increase efficiency in use of domestic resources; improve staff capabilities to design and implement government policies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596407" w:rsidTr="00E964F6">
        <w:trPr>
          <w:jc w:val="center"/>
        </w:trPr>
        <w:tc>
          <w:tcPr>
            <w:tcW w:w="5000" w:type="pct"/>
            <w:gridSpan w:val="4"/>
          </w:tcPr>
          <w:p w:rsidR="00596407" w:rsidRDefault="00596407" w:rsidP="00E964F6">
            <w:pPr>
              <w:pStyle w:val="AnnexTableText"/>
            </w:pPr>
            <w:r>
              <w:t>Activity 1: Planning of current expenditures, investments funds for Ministry of Industry and Energy and Inspectorate of Equipment Under Pressure</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Cover expenditures of Ministry of Industry and Energy and Inspectorate of Equipment under pressure</w:t>
            </w:r>
          </w:p>
        </w:tc>
        <w:tc>
          <w:tcPr>
            <w:tcW w:w="1250" w:type="pct"/>
          </w:tcPr>
          <w:p w:rsidR="00596407" w:rsidRDefault="00596407" w:rsidP="00E964F6">
            <w:pPr>
              <w:pStyle w:val="AnnexTableText"/>
            </w:pPr>
          </w:p>
        </w:tc>
        <w:tc>
          <w:tcPr>
            <w:tcW w:w="1250" w:type="pct"/>
          </w:tcPr>
          <w:p w:rsidR="00596407" w:rsidRDefault="00596407" w:rsidP="00E964F6">
            <w:pPr>
              <w:pStyle w:val="AnnexTableText"/>
            </w:pPr>
          </w:p>
        </w:tc>
        <w:tc>
          <w:tcPr>
            <w:tcW w:w="1250" w:type="pct"/>
          </w:tcPr>
          <w:p w:rsidR="00596407" w:rsidRDefault="00596407" w:rsidP="00E964F6">
            <w:pPr>
              <w:pStyle w:val="AnnexTableText"/>
            </w:pPr>
            <w:r>
              <w:t>As the reconstruction of Ministry building has been completed, envisaged funds for investments during the period 2006-2008 are about Lek 700,000.</w:t>
            </w:r>
          </w:p>
        </w:tc>
      </w:tr>
    </w:tbl>
    <w:p w:rsidR="00596407" w:rsidRDefault="00596407" w:rsidP="00596407">
      <w:pPr>
        <w:pStyle w:val="BodyText"/>
      </w:pPr>
    </w:p>
    <w:p w:rsidR="00596407" w:rsidRDefault="00596407" w:rsidP="00596407">
      <w:pPr>
        <w:pStyle w:val="BodyText"/>
      </w:pPr>
      <w:r>
        <w:t>Programme 2: Provide support for geo-sciences</w:t>
      </w:r>
    </w:p>
    <w:p w:rsidR="00596407" w:rsidRDefault="00596407" w:rsidP="00596407">
      <w:pPr>
        <w:pStyle w:val="BodyText"/>
      </w:pPr>
      <w:r>
        <w:t xml:space="preserve">Policy objective: Contribute to sustainable economic development, infrastructure building and modernisation, sustainable environment, higher quality of life, integration into the European institutions. </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9"/>
      </w:tblGrid>
      <w:tr w:rsidR="00596407" w:rsidTr="00E964F6">
        <w:trPr>
          <w:jc w:val="center"/>
        </w:trPr>
        <w:tc>
          <w:tcPr>
            <w:tcW w:w="5000" w:type="pct"/>
          </w:tcPr>
          <w:p w:rsidR="00596407" w:rsidRDefault="00596407" w:rsidP="00E964F6">
            <w:pPr>
              <w:pStyle w:val="AnnexTableText"/>
            </w:pPr>
            <w:r>
              <w:t>Activity 1: Evaluation, management and monitoring of subterranean water in the main basins, with priority given to the urban and tourist zones</w:t>
            </w:r>
          </w:p>
        </w:tc>
      </w:tr>
      <w:tr w:rsidR="00596407" w:rsidTr="00E964F6">
        <w:trPr>
          <w:jc w:val="center"/>
        </w:trPr>
        <w:tc>
          <w:tcPr>
            <w:tcW w:w="5000" w:type="pct"/>
          </w:tcPr>
          <w:p w:rsidR="00596407" w:rsidRDefault="00596407" w:rsidP="00E964F6">
            <w:pPr>
              <w:pStyle w:val="AnnexTableText"/>
            </w:pPr>
            <w:r>
              <w:t>Activity 2: Re-estimation of the necessary inputs for building the infrastructure, metal or non-metal sources with economic profit and impact in country’s sustainable development</w:t>
            </w:r>
          </w:p>
        </w:tc>
      </w:tr>
      <w:tr w:rsidR="00596407" w:rsidTr="00E964F6">
        <w:trPr>
          <w:jc w:val="center"/>
        </w:trPr>
        <w:tc>
          <w:tcPr>
            <w:tcW w:w="5000" w:type="pct"/>
          </w:tcPr>
          <w:p w:rsidR="00596407" w:rsidRDefault="00596407" w:rsidP="00E964F6">
            <w:pPr>
              <w:pStyle w:val="AnnexTableText"/>
            </w:pPr>
            <w:r>
              <w:t>Activity 3: Studies in service of well administration of the territory and natural resources at national and local level</w:t>
            </w:r>
          </w:p>
        </w:tc>
      </w:tr>
      <w:tr w:rsidR="00596407" w:rsidTr="00E964F6">
        <w:trPr>
          <w:jc w:val="center"/>
        </w:trPr>
        <w:tc>
          <w:tcPr>
            <w:tcW w:w="5000" w:type="pct"/>
          </w:tcPr>
          <w:p w:rsidR="00596407" w:rsidRDefault="00596407" w:rsidP="00E964F6">
            <w:pPr>
              <w:pStyle w:val="AnnexTableText"/>
            </w:pPr>
            <w:r>
              <w:t>Activity 4: Studies in geographic environment and its monitoring</w:t>
            </w:r>
          </w:p>
        </w:tc>
      </w:tr>
      <w:tr w:rsidR="00596407" w:rsidTr="00E964F6">
        <w:trPr>
          <w:jc w:val="center"/>
        </w:trPr>
        <w:tc>
          <w:tcPr>
            <w:tcW w:w="5000" w:type="pct"/>
          </w:tcPr>
          <w:p w:rsidR="00596407" w:rsidRDefault="00596407" w:rsidP="00E964F6">
            <w:pPr>
              <w:pStyle w:val="AnnexTableText"/>
            </w:pPr>
            <w:r>
              <w:t>Activity 5: Evaluation of geological dangers; geological and engineering studies for the evaluation of the stability and the expansion of public infrastructure</w:t>
            </w:r>
          </w:p>
        </w:tc>
      </w:tr>
      <w:tr w:rsidR="00596407" w:rsidTr="00E964F6">
        <w:trPr>
          <w:jc w:val="center"/>
        </w:trPr>
        <w:tc>
          <w:tcPr>
            <w:tcW w:w="5000" w:type="pct"/>
          </w:tcPr>
          <w:p w:rsidR="00596407" w:rsidRDefault="00596407" w:rsidP="00E964F6">
            <w:pPr>
              <w:pStyle w:val="AnnexTableText"/>
            </w:pPr>
            <w:r>
              <w:t>Activity 6: Scientific studies with applied interest in geology, hydrogeology etc</w:t>
            </w:r>
          </w:p>
        </w:tc>
      </w:tr>
      <w:tr w:rsidR="00596407" w:rsidTr="00E964F6">
        <w:trPr>
          <w:jc w:val="center"/>
        </w:trPr>
        <w:tc>
          <w:tcPr>
            <w:tcW w:w="5000" w:type="pct"/>
          </w:tcPr>
          <w:p w:rsidR="00596407" w:rsidRDefault="00596407" w:rsidP="00E964F6">
            <w:pPr>
              <w:pStyle w:val="AnnexTableText"/>
            </w:pPr>
            <w:r>
              <w:t>Activity 7: Expansion of information system, data bank, and information transmission toward decision-making bodies and the society (GIS)</w:t>
            </w:r>
          </w:p>
        </w:tc>
      </w:tr>
      <w:tr w:rsidR="00596407" w:rsidTr="00E964F6">
        <w:trPr>
          <w:jc w:val="center"/>
        </w:trPr>
        <w:tc>
          <w:tcPr>
            <w:tcW w:w="5000" w:type="pct"/>
          </w:tcPr>
          <w:p w:rsidR="00596407" w:rsidRDefault="00596407" w:rsidP="00E964F6">
            <w:pPr>
              <w:pStyle w:val="AnnexTableText"/>
            </w:pPr>
            <w:r>
              <w:t>Activity 8: Increase of utilisation of useful minerals based on government policies, according to their usage and the demand of market economy</w:t>
            </w:r>
          </w:p>
        </w:tc>
      </w:tr>
      <w:tr w:rsidR="00596407" w:rsidTr="00E964F6">
        <w:trPr>
          <w:jc w:val="center"/>
        </w:trPr>
        <w:tc>
          <w:tcPr>
            <w:tcW w:w="5000" w:type="pct"/>
          </w:tcPr>
          <w:p w:rsidR="00596407" w:rsidRDefault="00596407" w:rsidP="00E964F6">
            <w:pPr>
              <w:pStyle w:val="AnnexTableText"/>
            </w:pPr>
            <w:r>
              <w:t>Activity 9: Rational and effective administration of useful mining</w:t>
            </w:r>
          </w:p>
        </w:tc>
      </w:tr>
      <w:tr w:rsidR="00596407" w:rsidTr="00E964F6">
        <w:trPr>
          <w:jc w:val="center"/>
        </w:trPr>
        <w:tc>
          <w:tcPr>
            <w:tcW w:w="5000" w:type="pct"/>
          </w:tcPr>
          <w:p w:rsidR="00596407" w:rsidRDefault="00596407" w:rsidP="00E964F6">
            <w:pPr>
              <w:pStyle w:val="AnnexTableText"/>
            </w:pPr>
            <w:r>
              <w:t>Activity 10: Monitoring of closed mines</w:t>
            </w:r>
          </w:p>
        </w:tc>
      </w:tr>
      <w:tr w:rsidR="00596407" w:rsidTr="00E964F6">
        <w:trPr>
          <w:jc w:val="center"/>
        </w:trPr>
        <w:tc>
          <w:tcPr>
            <w:tcW w:w="5000" w:type="pct"/>
          </w:tcPr>
          <w:p w:rsidR="00596407" w:rsidRDefault="00596407" w:rsidP="00E964F6">
            <w:pPr>
              <w:pStyle w:val="AnnexTableText"/>
            </w:pPr>
            <w:r>
              <w:t>Activity 11: Mineral dangers, rehabilitation of mineral zones, technological and other environmental and social development research on minerals</w:t>
            </w:r>
          </w:p>
        </w:tc>
      </w:tr>
      <w:tr w:rsidR="00596407" w:rsidTr="00E964F6">
        <w:trPr>
          <w:jc w:val="center"/>
        </w:trPr>
        <w:tc>
          <w:tcPr>
            <w:tcW w:w="5000" w:type="pct"/>
          </w:tcPr>
          <w:p w:rsidR="00596407" w:rsidRDefault="00596407" w:rsidP="00E964F6">
            <w:pPr>
              <w:pStyle w:val="AnnexTableText"/>
            </w:pPr>
            <w:r>
              <w:t>Activity 12: General geological-geophysical studies on the geological construction and hydrocarbon potential</w:t>
            </w:r>
          </w:p>
        </w:tc>
      </w:tr>
      <w:tr w:rsidR="00596407" w:rsidTr="00E964F6">
        <w:trPr>
          <w:jc w:val="center"/>
        </w:trPr>
        <w:tc>
          <w:tcPr>
            <w:tcW w:w="5000" w:type="pct"/>
          </w:tcPr>
          <w:p w:rsidR="00596407" w:rsidRDefault="00596407" w:rsidP="00E964F6">
            <w:pPr>
              <w:pStyle w:val="AnnexTableText"/>
            </w:pPr>
            <w:r>
              <w:t>Activity 13: Studies in different area of geo-sciences</w:t>
            </w:r>
          </w:p>
        </w:tc>
      </w:tr>
      <w:tr w:rsidR="00596407" w:rsidTr="00E964F6">
        <w:trPr>
          <w:jc w:val="center"/>
        </w:trPr>
        <w:tc>
          <w:tcPr>
            <w:tcW w:w="5000" w:type="pct"/>
          </w:tcPr>
          <w:p w:rsidR="00596407" w:rsidRDefault="00596407" w:rsidP="00E964F6">
            <w:pPr>
              <w:pStyle w:val="AnnexTableText"/>
            </w:pPr>
            <w:r>
              <w:t>Activity 14: Complex studies for development of oil and gas sources as well as development of infrastructure that affects their optimal utilisation and refinement</w:t>
            </w:r>
          </w:p>
        </w:tc>
      </w:tr>
      <w:tr w:rsidR="00596407" w:rsidTr="00E964F6">
        <w:trPr>
          <w:jc w:val="center"/>
        </w:trPr>
        <w:tc>
          <w:tcPr>
            <w:tcW w:w="5000" w:type="pct"/>
          </w:tcPr>
          <w:p w:rsidR="00596407" w:rsidRDefault="00596407" w:rsidP="00E964F6">
            <w:pPr>
              <w:pStyle w:val="AnnexTableText"/>
            </w:pPr>
            <w:r>
              <w:t>Activity 15: Monitoring of environment in oil industry areas and of rehabilitation projects</w:t>
            </w:r>
          </w:p>
        </w:tc>
      </w:tr>
      <w:tr w:rsidR="00596407" w:rsidTr="00E964F6">
        <w:trPr>
          <w:jc w:val="center"/>
        </w:trPr>
        <w:tc>
          <w:tcPr>
            <w:tcW w:w="5000" w:type="pct"/>
          </w:tcPr>
          <w:p w:rsidR="00596407" w:rsidRDefault="00596407" w:rsidP="00E964F6">
            <w:pPr>
              <w:pStyle w:val="AnnexTableText"/>
            </w:pPr>
            <w:r>
              <w:t>Activity 16: Rules and legal and sub-legal acts for detergent, paper and wood, and glass products industries</w:t>
            </w:r>
          </w:p>
        </w:tc>
      </w:tr>
      <w:tr w:rsidR="00596407" w:rsidTr="00E964F6">
        <w:trPr>
          <w:jc w:val="center"/>
        </w:trPr>
        <w:tc>
          <w:tcPr>
            <w:tcW w:w="5000" w:type="pct"/>
          </w:tcPr>
          <w:p w:rsidR="00596407" w:rsidRDefault="00596407" w:rsidP="00E964F6">
            <w:pPr>
              <w:pStyle w:val="AnnexTableText"/>
            </w:pPr>
            <w:r>
              <w:t>Activity 17: studies on alternative energy applications based on country resources and identification of problems of this type of energy, efficiency and environmental protection in industrial zone.</w:t>
            </w:r>
          </w:p>
        </w:tc>
      </w:tr>
      <w:tr w:rsidR="00596407" w:rsidTr="00E964F6">
        <w:trPr>
          <w:jc w:val="center"/>
        </w:trPr>
        <w:tc>
          <w:tcPr>
            <w:tcW w:w="5000" w:type="pct"/>
          </w:tcPr>
          <w:p w:rsidR="00596407" w:rsidRDefault="00596407" w:rsidP="00E964F6">
            <w:pPr>
              <w:pStyle w:val="AnnexTableText"/>
            </w:pPr>
            <w:r>
              <w:t>Activity 18: Monitoring of discharges in environment from industry operators in general and steel and Iron-chromium in particular; preparation of rules and procedures for monitoring and operation of metallurgical industry</w:t>
            </w:r>
          </w:p>
        </w:tc>
      </w:tr>
      <w:tr w:rsidR="00596407" w:rsidTr="00E964F6">
        <w:trPr>
          <w:jc w:val="center"/>
        </w:trPr>
        <w:tc>
          <w:tcPr>
            <w:tcW w:w="5000" w:type="pct"/>
          </w:tcPr>
          <w:p w:rsidR="00596407" w:rsidRDefault="00596407" w:rsidP="00E964F6">
            <w:pPr>
              <w:pStyle w:val="AnnexTableText"/>
            </w:pPr>
            <w:r>
              <w:lastRenderedPageBreak/>
              <w:t>Activity 19: Increase of effectiveness and quality of production in non-food industry branches for entering the European market</w:t>
            </w:r>
          </w:p>
        </w:tc>
      </w:tr>
      <w:tr w:rsidR="00596407" w:rsidTr="00E964F6">
        <w:trPr>
          <w:jc w:val="center"/>
        </w:trPr>
        <w:tc>
          <w:tcPr>
            <w:tcW w:w="5000" w:type="pct"/>
          </w:tcPr>
          <w:p w:rsidR="00596407" w:rsidRDefault="00596407" w:rsidP="00E964F6">
            <w:pPr>
              <w:pStyle w:val="AnnexTableText"/>
            </w:pPr>
            <w:r>
              <w:t>Activity 20: Protection from fire risks in non-food industry</w:t>
            </w:r>
          </w:p>
        </w:tc>
      </w:tr>
    </w:tbl>
    <w:p w:rsidR="00596407" w:rsidRDefault="00596407" w:rsidP="00596407">
      <w:pPr>
        <w:pStyle w:val="BodyText"/>
      </w:pPr>
    </w:p>
    <w:p w:rsidR="00596407" w:rsidRDefault="00596407" w:rsidP="00596407">
      <w:pPr>
        <w:pStyle w:val="BodyText"/>
      </w:pPr>
      <w:r>
        <w:t>Programme 3: Support for energy sector</w:t>
      </w:r>
    </w:p>
    <w:p w:rsidR="00596407" w:rsidRDefault="00596407" w:rsidP="00596407">
      <w:pPr>
        <w:pStyle w:val="BodyText"/>
      </w:pPr>
      <w:r>
        <w:t>Policy objective: Better management of energy situation; balance demand and supply in order to fulfil energy supply needs; increase the efficiency of the use of electrical energy.</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596407" w:rsidTr="00E964F6">
        <w:trPr>
          <w:jc w:val="center"/>
        </w:trPr>
        <w:tc>
          <w:tcPr>
            <w:tcW w:w="5000" w:type="pct"/>
            <w:gridSpan w:val="4"/>
          </w:tcPr>
          <w:p w:rsidR="00596407" w:rsidRDefault="00596407" w:rsidP="00E964F6">
            <w:pPr>
              <w:pStyle w:val="AnnexTableText"/>
            </w:pPr>
            <w:r>
              <w:t>Activity 1: Implementation of annual Action Plan of the Albanian Power Corporation (KESH)</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Reduce technical and non-technical losses according to the approved annual targets; reduce subsidiaries tariffs for water supplies.</w:t>
            </w:r>
          </w:p>
        </w:tc>
        <w:tc>
          <w:tcPr>
            <w:tcW w:w="1250" w:type="pct"/>
          </w:tcPr>
          <w:p w:rsidR="00596407" w:rsidRDefault="00596407" w:rsidP="00E964F6">
            <w:pPr>
              <w:pStyle w:val="AnnexTableText"/>
            </w:pPr>
            <w:r>
              <w:t>During recent four years, all the defined targets in the annual Actions Plans have been achieved.</w:t>
            </w:r>
          </w:p>
        </w:tc>
        <w:tc>
          <w:tcPr>
            <w:tcW w:w="1250" w:type="pct"/>
          </w:tcPr>
          <w:p w:rsidR="00596407" w:rsidRDefault="00596407" w:rsidP="00E964F6">
            <w:pPr>
              <w:pStyle w:val="AnnexTableText"/>
            </w:pPr>
            <w:r>
              <w:t>Based on the annual Action Plans some technical, organisational and administrative measures will be implemented.</w:t>
            </w:r>
          </w:p>
        </w:tc>
        <w:tc>
          <w:tcPr>
            <w:tcW w:w="1250" w:type="pct"/>
          </w:tcPr>
          <w:p w:rsidR="00596407" w:rsidRDefault="00596407" w:rsidP="00E964F6">
            <w:pPr>
              <w:pStyle w:val="AnnexTableText"/>
            </w:pPr>
            <w:r>
              <w:t>Payment of Lek 900 million for previous obligations in 2006 for budgetary and non budgetary consumers; payment at the level of 100% of actual bills for budgetary and non-budgetary consumers.</w:t>
            </w:r>
          </w:p>
        </w:tc>
      </w:tr>
      <w:tr w:rsidR="00596407" w:rsidTr="00E964F6">
        <w:trPr>
          <w:jc w:val="center"/>
        </w:trPr>
        <w:tc>
          <w:tcPr>
            <w:tcW w:w="5000" w:type="pct"/>
            <w:gridSpan w:val="4"/>
          </w:tcPr>
          <w:p w:rsidR="00596407" w:rsidRDefault="00596407" w:rsidP="00E964F6">
            <w:pPr>
              <w:pStyle w:val="AnnexTableText"/>
            </w:pPr>
            <w:r>
              <w:t>Activity 2: KESH Restructuring through division in separate companies of generation, transmission and distribution</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Divide KESH into three (vertically integrated) sectors judicially and commercially independent: generation, transmission, and distribution; restructure distribution sector and draft law on its privatisation; restructure generation sector and draft law on its privatisation</w:t>
            </w:r>
          </w:p>
        </w:tc>
        <w:tc>
          <w:tcPr>
            <w:tcW w:w="1250" w:type="pct"/>
          </w:tcPr>
          <w:p w:rsidR="00596407" w:rsidRDefault="00596407" w:rsidP="00E964F6">
            <w:pPr>
              <w:pStyle w:val="AnnexTableText"/>
            </w:pPr>
            <w:r>
              <w:t>The established operator of the transmission system is judicially independent and the limits with the generation and distribution systems have been defined. A study undertaken by an international company is expected to be completed by June 2005, and to recommend the optimal number of distribution and generation companies.</w:t>
            </w:r>
          </w:p>
        </w:tc>
        <w:tc>
          <w:tcPr>
            <w:tcW w:w="1250" w:type="pct"/>
          </w:tcPr>
          <w:p w:rsidR="00596407" w:rsidRDefault="00596407" w:rsidP="00E964F6">
            <w:pPr>
              <w:pStyle w:val="AnnexTableText"/>
            </w:pPr>
            <w:r>
              <w:t xml:space="preserve">Establishment of distribution and generation’s associations; re-evaluation of the assets according to the divided sectors; distribution of the received credits according to the divided sectors.  </w:t>
            </w:r>
          </w:p>
        </w:tc>
        <w:tc>
          <w:tcPr>
            <w:tcW w:w="1250" w:type="pct"/>
          </w:tcPr>
          <w:p w:rsidR="00596407" w:rsidRDefault="00596407" w:rsidP="00E964F6">
            <w:pPr>
              <w:pStyle w:val="AnnexTableText"/>
            </w:pPr>
          </w:p>
        </w:tc>
      </w:tr>
      <w:tr w:rsidR="00596407" w:rsidTr="00E964F6">
        <w:trPr>
          <w:jc w:val="center"/>
        </w:trPr>
        <w:tc>
          <w:tcPr>
            <w:tcW w:w="5000" w:type="pct"/>
            <w:gridSpan w:val="4"/>
          </w:tcPr>
          <w:p w:rsidR="00596407" w:rsidRDefault="00596407" w:rsidP="00E964F6">
            <w:pPr>
              <w:pStyle w:val="AnnexTableText"/>
            </w:pPr>
            <w:r>
              <w:t>Activity 3: Establishment of the internal electrical energy market and its integration into the regional market</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Open market by 2008 for budgetary, non-budgetary and private consumers; design the regional electricity market</w:t>
            </w:r>
          </w:p>
        </w:tc>
        <w:tc>
          <w:tcPr>
            <w:tcW w:w="1250" w:type="pct"/>
          </w:tcPr>
          <w:p w:rsidR="00596407" w:rsidRDefault="00596407" w:rsidP="00E964F6">
            <w:pPr>
              <w:pStyle w:val="AnnexTableText"/>
            </w:pPr>
            <w:r>
              <w:t>The Energy Treaty has been approved by the Council of Ministers; the transmission, distribution, and measurement codes and the market rules have been prepared.</w:t>
            </w:r>
          </w:p>
        </w:tc>
        <w:tc>
          <w:tcPr>
            <w:tcW w:w="1250" w:type="pct"/>
          </w:tcPr>
          <w:p w:rsidR="00596407" w:rsidRDefault="00596407" w:rsidP="00E964F6">
            <w:pPr>
              <w:pStyle w:val="AnnexTableText"/>
            </w:pPr>
            <w:r>
              <w:t>Construction of Vlora TEC with foreign financing at about $105 mil; establishment of a new national dispatching centre with foreign financing €23 mil; construction of new 400kV interconnection line Elbasan-Podgorice with foreign financing €43.9 mil.</w:t>
            </w:r>
          </w:p>
        </w:tc>
        <w:tc>
          <w:tcPr>
            <w:tcW w:w="1250" w:type="pct"/>
          </w:tcPr>
          <w:p w:rsidR="00596407" w:rsidRDefault="00596407" w:rsidP="00E964F6">
            <w:pPr>
              <w:pStyle w:val="AnnexTableText"/>
            </w:pPr>
          </w:p>
        </w:tc>
      </w:tr>
      <w:tr w:rsidR="00596407" w:rsidTr="00E964F6">
        <w:trPr>
          <w:jc w:val="center"/>
        </w:trPr>
        <w:tc>
          <w:tcPr>
            <w:tcW w:w="5000" w:type="pct"/>
            <w:gridSpan w:val="4"/>
          </w:tcPr>
          <w:p w:rsidR="00596407" w:rsidRDefault="00596407" w:rsidP="00E964F6">
            <w:pPr>
              <w:pStyle w:val="AnnexTableText"/>
            </w:pPr>
            <w:r>
              <w:t>Activity 4: Update the National Energy Strategy by 2006</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Updating the National Energy Strategy reflecting changes in energy needs.</w:t>
            </w:r>
          </w:p>
        </w:tc>
        <w:tc>
          <w:tcPr>
            <w:tcW w:w="1250" w:type="pct"/>
          </w:tcPr>
          <w:p w:rsidR="00596407" w:rsidRDefault="00596407" w:rsidP="00E964F6">
            <w:pPr>
              <w:pStyle w:val="AnnexTableText"/>
            </w:pPr>
            <w:r>
              <w:t>Monitoring of the implementation of National Energy Strategy and reporting on its achievements in Inter-ministerial Energy Committee and European Union.</w:t>
            </w:r>
          </w:p>
        </w:tc>
        <w:tc>
          <w:tcPr>
            <w:tcW w:w="1250" w:type="pct"/>
          </w:tcPr>
          <w:p w:rsidR="00596407" w:rsidRDefault="00596407" w:rsidP="00E964F6">
            <w:pPr>
              <w:pStyle w:val="AnnexTableText"/>
            </w:pPr>
            <w:r>
              <w:t>Based on the Action Plan of the Strategy (2003-2005) and on Energy Efficiency Law, during the period June-December 2005, very important preliminary measures will be undertaken for enabling the process of updating of the Strategy in January 2006.</w:t>
            </w:r>
          </w:p>
        </w:tc>
        <w:tc>
          <w:tcPr>
            <w:tcW w:w="1250" w:type="pct"/>
          </w:tcPr>
          <w:p w:rsidR="00596407" w:rsidRDefault="00596407" w:rsidP="00E964F6">
            <w:pPr>
              <w:pStyle w:val="AnnexTableText"/>
            </w:pPr>
            <w:r>
              <w:t>The necessary funds for enabling the review of the strategy are Lek 10million (the fund for preparing the Strategy in 2003 was Lek 8.6 million).</w:t>
            </w:r>
          </w:p>
        </w:tc>
      </w:tr>
      <w:tr w:rsidR="00596407" w:rsidTr="00E964F6">
        <w:trPr>
          <w:jc w:val="center"/>
        </w:trPr>
        <w:tc>
          <w:tcPr>
            <w:tcW w:w="5000" w:type="pct"/>
            <w:gridSpan w:val="4"/>
          </w:tcPr>
          <w:p w:rsidR="00596407" w:rsidRDefault="00596407" w:rsidP="00E964F6">
            <w:pPr>
              <w:pStyle w:val="AnnexTableText"/>
            </w:pPr>
            <w:r>
              <w:t xml:space="preserve">Activity 5: Implementation of Energy Efficiency Law during 2006-2008 </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Increase the efficiency of energy supply for all socio-economic sectors in accordance with EU standards.</w:t>
            </w:r>
          </w:p>
        </w:tc>
        <w:tc>
          <w:tcPr>
            <w:tcW w:w="1250" w:type="pct"/>
          </w:tcPr>
          <w:p w:rsidR="00596407" w:rsidRDefault="00596407" w:rsidP="00E964F6">
            <w:pPr>
              <w:pStyle w:val="AnnexTableText"/>
            </w:pPr>
            <w:r>
              <w:t>The Energy Efficiency Law was approved by the Parliament in April 2005</w:t>
            </w:r>
          </w:p>
        </w:tc>
        <w:tc>
          <w:tcPr>
            <w:tcW w:w="1250" w:type="pct"/>
          </w:tcPr>
          <w:p w:rsidR="00596407" w:rsidRDefault="00596407" w:rsidP="00E964F6">
            <w:pPr>
              <w:pStyle w:val="AnnexTableText"/>
            </w:pPr>
            <w:r>
              <w:t xml:space="preserve">Preparation of four Council of Ministers Decisions based on Strategy Action Plan and Energy Efficiency </w:t>
            </w:r>
            <w:r>
              <w:lastRenderedPageBreak/>
              <w:t>Law requirements are under way:</w:t>
            </w:r>
          </w:p>
          <w:p w:rsidR="00596407" w:rsidRDefault="00596407" w:rsidP="00E964F6">
            <w:pPr>
              <w:pStyle w:val="AnnexTableText"/>
            </w:pPr>
            <w:r>
              <w:t xml:space="preserve">(1) Establishment of Local Energy Offices for preparing the energy database at national and regional level according to EU requirements; </w:t>
            </w:r>
            <w:r>
              <w:br/>
              <w:t xml:space="preserve">(2) Establishment of functioning mechanisms of Energy Efficiency Fund and renewable sources of energy; (3) Preparation of energy auditing; </w:t>
            </w:r>
            <w:r>
              <w:br/>
              <w:t>(4) Designation of labels for electrical appliances.</w:t>
            </w:r>
          </w:p>
        </w:tc>
        <w:tc>
          <w:tcPr>
            <w:tcW w:w="1250" w:type="pct"/>
          </w:tcPr>
          <w:p w:rsidR="00596407" w:rsidRDefault="00596407" w:rsidP="00E964F6">
            <w:pPr>
              <w:pStyle w:val="AnnexTableText"/>
            </w:pPr>
            <w:r>
              <w:lastRenderedPageBreak/>
              <w:t xml:space="preserve">Funds needed to establish local Energy Offices (1-2 specialists in each prefecture) for 2006 are Lek 15 </w:t>
            </w:r>
            <w:r>
              <w:lastRenderedPageBreak/>
              <w:t xml:space="preserve">million. </w:t>
            </w:r>
          </w:p>
          <w:p w:rsidR="00596407" w:rsidRDefault="00596407" w:rsidP="00E964F6">
            <w:pPr>
              <w:pStyle w:val="AnnexTableText"/>
            </w:pPr>
            <w:r>
              <w:t>Funds needed for promotion of Energy Efficiency and renewable energy sources are Lek 13 million in 2006, Lek 15 million in 2007, and Lek 17 million in 2008.</w:t>
            </w:r>
          </w:p>
        </w:tc>
      </w:tr>
      <w:tr w:rsidR="00596407" w:rsidTr="00E964F6">
        <w:trPr>
          <w:jc w:val="center"/>
        </w:trPr>
        <w:tc>
          <w:tcPr>
            <w:tcW w:w="5000" w:type="pct"/>
            <w:gridSpan w:val="4"/>
          </w:tcPr>
          <w:p w:rsidR="00596407" w:rsidRDefault="00596407" w:rsidP="00E964F6">
            <w:pPr>
              <w:pStyle w:val="AnnexTableText"/>
            </w:pPr>
            <w:r>
              <w:lastRenderedPageBreak/>
              <w:t>Activity 6: Monitoring of implementation of National Strategy of Energy Sector in 2006-2008</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Follow up the progress in implementation of National Strategy of Energy Sector aiming at developing a new Action Plan 2006-2008 to ensure the achievements of the defined objectives</w:t>
            </w:r>
          </w:p>
        </w:tc>
        <w:tc>
          <w:tcPr>
            <w:tcW w:w="1250" w:type="pct"/>
          </w:tcPr>
          <w:p w:rsidR="00596407" w:rsidRDefault="00596407" w:rsidP="00E964F6">
            <w:pPr>
              <w:pStyle w:val="AnnexTableText"/>
            </w:pPr>
          </w:p>
        </w:tc>
        <w:tc>
          <w:tcPr>
            <w:tcW w:w="1250" w:type="pct"/>
          </w:tcPr>
          <w:p w:rsidR="00596407" w:rsidRDefault="00596407" w:rsidP="00E964F6">
            <w:pPr>
              <w:pStyle w:val="AnnexTableText"/>
            </w:pPr>
          </w:p>
        </w:tc>
        <w:tc>
          <w:tcPr>
            <w:tcW w:w="1250" w:type="pct"/>
          </w:tcPr>
          <w:p w:rsidR="00596407" w:rsidRDefault="00596407" w:rsidP="00E964F6">
            <w:pPr>
              <w:pStyle w:val="AnnexTableText"/>
            </w:pPr>
            <w:r>
              <w:t>The necessary funds for making available the monitoring of the strategy are Lek 6 million in 2007 and Lek 7 million in 2008.</w:t>
            </w:r>
          </w:p>
        </w:tc>
      </w:tr>
    </w:tbl>
    <w:p w:rsidR="00596407" w:rsidRDefault="00596407" w:rsidP="00596407">
      <w:pPr>
        <w:pStyle w:val="BodyText"/>
      </w:pPr>
    </w:p>
    <w:p w:rsidR="00596407" w:rsidRDefault="00596407" w:rsidP="00596407">
      <w:pPr>
        <w:pStyle w:val="BodyText"/>
      </w:pPr>
      <w:r>
        <w:t>Programme 4: Support for mines and enterprises</w:t>
      </w:r>
    </w:p>
    <w:p w:rsidR="00596407" w:rsidRDefault="00596407" w:rsidP="00596407">
      <w:pPr>
        <w:pStyle w:val="BodyText"/>
      </w:pPr>
      <w:r>
        <w:t>Policy objective: Elimination of the life and environmental threatening hazards; Finalisation of enterprises transformation process; Reactivation of super phosphate industry</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3615"/>
        <w:gridCol w:w="3615"/>
        <w:gridCol w:w="3615"/>
      </w:tblGrid>
      <w:tr w:rsidR="00596407" w:rsidTr="00E964F6">
        <w:trPr>
          <w:jc w:val="center"/>
        </w:trPr>
        <w:tc>
          <w:tcPr>
            <w:tcW w:w="5000" w:type="pct"/>
            <w:gridSpan w:val="4"/>
          </w:tcPr>
          <w:p w:rsidR="00596407" w:rsidRDefault="00596407" w:rsidP="00E964F6">
            <w:pPr>
              <w:pStyle w:val="AnnexTableText"/>
            </w:pPr>
            <w:r>
              <w:t>Activity 1: Closing of Mines and privatisation of their assets</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Close mines to avoid dangers for inhabitants and their environment as well as infrastructure damages; re-open at any time at low cost; privatise existing assets or abandon them if they do not get privatised.</w:t>
            </w:r>
          </w:p>
        </w:tc>
        <w:tc>
          <w:tcPr>
            <w:tcW w:w="1250" w:type="pct"/>
          </w:tcPr>
          <w:p w:rsidR="00596407" w:rsidRDefault="00596407" w:rsidP="00E964F6">
            <w:pPr>
              <w:pStyle w:val="AnnexTableText"/>
            </w:pPr>
            <w:r>
              <w:t>The checking and preliminary identification of mines and their sections that need to be privatised or liquidated has been completed; Council of Ministers Decisions have been prepared and approved; projects for closure of mines have been designed, the documentation for privatisation of mineral assets is under way; the preparation of documentation for mine closure is under way; financing needs from state budget are going to decrease gradually.</w:t>
            </w:r>
          </w:p>
        </w:tc>
        <w:tc>
          <w:tcPr>
            <w:tcW w:w="1250" w:type="pct"/>
          </w:tcPr>
          <w:p w:rsidR="00596407" w:rsidRDefault="00596407" w:rsidP="00E964F6">
            <w:pPr>
              <w:pStyle w:val="AnnexTableText"/>
            </w:pPr>
            <w:r>
              <w:t>Complete the map and identify mineral objects that need to be closed; develop guidelines for closure of these mines; prepare necessary documentation for privatisation of special assets and mineral objects; continuously track implementation of programme of mine closure; prepare technical documentation for closing again the opened mines; collaborate with Ministry of Economy to solve problems that come out of privatisation of assets; carry out studies and Investments before closing mines and privatising assets; prepare privatisation documentation.</w:t>
            </w:r>
          </w:p>
        </w:tc>
        <w:tc>
          <w:tcPr>
            <w:tcW w:w="1250" w:type="pct"/>
          </w:tcPr>
          <w:p w:rsidR="00596407" w:rsidRDefault="00596407" w:rsidP="00E964F6">
            <w:pPr>
              <w:pStyle w:val="AnnexTableText"/>
            </w:pPr>
            <w:r>
              <w:t>During the period 2006-2008, the funds needed for mine closure, their monitoring, and re-closure is about Lek 297 million.</w:t>
            </w:r>
          </w:p>
        </w:tc>
      </w:tr>
      <w:tr w:rsidR="00596407" w:rsidTr="00E964F6">
        <w:trPr>
          <w:jc w:val="center"/>
        </w:trPr>
        <w:tc>
          <w:tcPr>
            <w:tcW w:w="5000" w:type="pct"/>
            <w:gridSpan w:val="4"/>
          </w:tcPr>
          <w:p w:rsidR="00596407" w:rsidRDefault="00596407" w:rsidP="00E964F6">
            <w:pPr>
              <w:pStyle w:val="AnnexTableText"/>
            </w:pPr>
            <w:r>
              <w:t>Activity 2: Monitoring of closed mines</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Monitoring of closed mines has to be undertaken to avoid risks resulting from discharging of utilised material, gas and water dumping etc.</w:t>
            </w:r>
          </w:p>
        </w:tc>
        <w:tc>
          <w:tcPr>
            <w:tcW w:w="1250" w:type="pct"/>
          </w:tcPr>
          <w:p w:rsidR="00596407" w:rsidRDefault="00596407" w:rsidP="00E964F6">
            <w:pPr>
              <w:pStyle w:val="AnnexTableText"/>
            </w:pPr>
            <w:r>
              <w:t>Design of study and compilation of legislation are in process.</w:t>
            </w:r>
          </w:p>
        </w:tc>
        <w:tc>
          <w:tcPr>
            <w:tcW w:w="1250" w:type="pct"/>
          </w:tcPr>
          <w:p w:rsidR="00596407" w:rsidRDefault="00596407" w:rsidP="00E964F6">
            <w:pPr>
              <w:pStyle w:val="AnnexTableText"/>
            </w:pPr>
            <w:r>
              <w:t>A new study on monitoring the closed mines is quite important; establishment of structures for monitoring the closed mineral objects; monitoring of mineral objects.</w:t>
            </w:r>
          </w:p>
        </w:tc>
        <w:tc>
          <w:tcPr>
            <w:tcW w:w="1250" w:type="pct"/>
          </w:tcPr>
          <w:p w:rsidR="00596407" w:rsidRDefault="00596407" w:rsidP="00E964F6">
            <w:pPr>
              <w:pStyle w:val="AnnexTableText"/>
            </w:pPr>
          </w:p>
        </w:tc>
      </w:tr>
      <w:tr w:rsidR="00596407" w:rsidTr="00E964F6">
        <w:trPr>
          <w:jc w:val="center"/>
        </w:trPr>
        <w:tc>
          <w:tcPr>
            <w:tcW w:w="5000" w:type="pct"/>
            <w:gridSpan w:val="4"/>
          </w:tcPr>
          <w:p w:rsidR="00596407" w:rsidRDefault="00596407" w:rsidP="00E964F6">
            <w:pPr>
              <w:pStyle w:val="AnnexTableText"/>
            </w:pPr>
            <w:r>
              <w:t>Activity 3: Conservation of corporation of super phosphate in Kurbin and new urea plant in Fier</w:t>
            </w:r>
          </w:p>
        </w:tc>
      </w:tr>
      <w:tr w:rsidR="00596407" w:rsidTr="00E964F6">
        <w:trPr>
          <w:jc w:val="center"/>
        </w:trPr>
        <w:tc>
          <w:tcPr>
            <w:tcW w:w="1250" w:type="pct"/>
          </w:tcPr>
          <w:p w:rsidR="00596407" w:rsidRDefault="00596407" w:rsidP="00E964F6">
            <w:pPr>
              <w:pStyle w:val="AnnexTableText"/>
            </w:pPr>
            <w:r>
              <w:t>Output Targets</w:t>
            </w:r>
          </w:p>
        </w:tc>
        <w:tc>
          <w:tcPr>
            <w:tcW w:w="1250" w:type="pct"/>
          </w:tcPr>
          <w:p w:rsidR="00596407" w:rsidRDefault="00596407" w:rsidP="00E964F6">
            <w:pPr>
              <w:pStyle w:val="AnnexTableText"/>
            </w:pPr>
            <w:r>
              <w:t>Current Situation</w:t>
            </w:r>
          </w:p>
        </w:tc>
        <w:tc>
          <w:tcPr>
            <w:tcW w:w="1250" w:type="pct"/>
          </w:tcPr>
          <w:p w:rsidR="00596407" w:rsidRDefault="00596407" w:rsidP="00E964F6">
            <w:pPr>
              <w:pStyle w:val="AnnexTableText"/>
            </w:pPr>
            <w:r>
              <w:t>Programme Reform Actions</w:t>
            </w:r>
          </w:p>
        </w:tc>
        <w:tc>
          <w:tcPr>
            <w:tcW w:w="1250" w:type="pct"/>
          </w:tcPr>
          <w:p w:rsidR="00596407" w:rsidRDefault="00596407" w:rsidP="00E964F6">
            <w:pPr>
              <w:pStyle w:val="AnnexTableText"/>
            </w:pPr>
            <w:r>
              <w:t>Budget Management Implications</w:t>
            </w:r>
          </w:p>
        </w:tc>
      </w:tr>
      <w:tr w:rsidR="00596407" w:rsidTr="00E964F6">
        <w:trPr>
          <w:jc w:val="center"/>
        </w:trPr>
        <w:tc>
          <w:tcPr>
            <w:tcW w:w="1250" w:type="pct"/>
          </w:tcPr>
          <w:p w:rsidR="00596407" w:rsidRDefault="00596407" w:rsidP="00E964F6">
            <w:pPr>
              <w:pStyle w:val="AnnexTableText"/>
            </w:pPr>
            <w:r>
              <w:t>Reactivation of super phosphate industry in Kurbin.</w:t>
            </w:r>
          </w:p>
        </w:tc>
        <w:tc>
          <w:tcPr>
            <w:tcW w:w="1250" w:type="pct"/>
          </w:tcPr>
          <w:p w:rsidR="00596407" w:rsidRDefault="00596407" w:rsidP="00E964F6">
            <w:pPr>
              <w:pStyle w:val="AnnexTableText"/>
            </w:pPr>
            <w:r>
              <w:t>The new urea plant in Fier and the super phosphate corporation in Kurbin are out of work.</w:t>
            </w:r>
          </w:p>
        </w:tc>
        <w:tc>
          <w:tcPr>
            <w:tcW w:w="1250" w:type="pct"/>
          </w:tcPr>
          <w:p w:rsidR="00596407" w:rsidRDefault="00596407" w:rsidP="00E964F6">
            <w:pPr>
              <w:pStyle w:val="AnnexTableText"/>
            </w:pPr>
            <w:r>
              <w:t xml:space="preserve">Realise goals of concession law in 2006; continue conservation process and locate investors for </w:t>
            </w:r>
            <w:r>
              <w:lastRenderedPageBreak/>
              <w:t>reactivation.</w:t>
            </w:r>
          </w:p>
        </w:tc>
        <w:tc>
          <w:tcPr>
            <w:tcW w:w="1250" w:type="pct"/>
          </w:tcPr>
          <w:p w:rsidR="00596407" w:rsidRDefault="00596407" w:rsidP="00E964F6">
            <w:pPr>
              <w:pStyle w:val="AnnexTableText"/>
            </w:pPr>
            <w:r>
              <w:lastRenderedPageBreak/>
              <w:t xml:space="preserve">Increase budget from Lek 6.85 million in 2005 to Lek million in 2006. Increase budget for enterprise </w:t>
            </w:r>
            <w:r>
              <w:lastRenderedPageBreak/>
              <w:t>closure from Lek 0.15 million in 2005 to Lek 1.5 million in 2006.</w:t>
            </w:r>
          </w:p>
        </w:tc>
      </w:tr>
    </w:tbl>
    <w:p w:rsidR="00596407" w:rsidRDefault="00596407" w:rsidP="00596407">
      <w:pPr>
        <w:pStyle w:val="BodyText"/>
      </w:pPr>
    </w:p>
    <w:p w:rsidR="00C43527" w:rsidRDefault="00C43527"/>
    <w:sectPr w:rsidR="00C43527" w:rsidSect="0059640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043" w:rsidRDefault="00B56043" w:rsidP="00596407">
      <w:pPr>
        <w:spacing w:after="0"/>
      </w:pPr>
      <w:r>
        <w:separator/>
      </w:r>
    </w:p>
  </w:endnote>
  <w:endnote w:type="continuationSeparator" w:id="0">
    <w:p w:rsidR="00B56043" w:rsidRDefault="00B56043" w:rsidP="005964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B56043">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596407">
      <w:rPr>
        <w:rStyle w:val="PageNumber"/>
        <w:rFonts w:eastAsiaTheme="majorEastAsia"/>
        <w:noProof/>
      </w:rPr>
      <w:t>1</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043" w:rsidRDefault="00B56043" w:rsidP="00596407">
      <w:pPr>
        <w:spacing w:after="0"/>
      </w:pPr>
      <w:r>
        <w:separator/>
      </w:r>
    </w:p>
  </w:footnote>
  <w:footnote w:type="continuationSeparator" w:id="0">
    <w:p w:rsidR="00B56043" w:rsidRDefault="00B56043" w:rsidP="005964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B56043">
    <w:pPr>
      <w:pStyle w:val="Header"/>
      <w:rPr>
        <w:b w:val="0"/>
      </w:rPr>
    </w:pPr>
    <w:r w:rsidRPr="00764A50">
      <w:rPr>
        <w:b w:val="0"/>
      </w:rPr>
      <w:t xml:space="preserve">Albania : MTPA </w:t>
    </w:r>
    <w:r w:rsidRPr="00764A50">
      <w:rPr>
        <w:b w:val="0"/>
      </w:rPr>
      <w:t>–</w:t>
    </w:r>
    <w:r w:rsidRPr="00764A50">
      <w:rPr>
        <w:b w:val="0"/>
      </w:rPr>
      <w:t xml:space="preserve"> Ministry </w:t>
    </w:r>
    <w:r w:rsidRPr="00764A50">
      <w:rPr>
        <w:b w:val="0"/>
      </w:rPr>
      <w:t xml:space="preserve">of </w:t>
    </w:r>
    <w:r w:rsidR="00596407">
      <w:rPr>
        <w:b w:val="0"/>
      </w:rPr>
      <w:t>Industry and Energy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96407"/>
    <w:rsid w:val="0040503A"/>
    <w:rsid w:val="00437A91"/>
    <w:rsid w:val="00596407"/>
    <w:rsid w:val="00AA4F34"/>
    <w:rsid w:val="00B56043"/>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07"/>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596407"/>
    <w:pPr>
      <w:tabs>
        <w:tab w:val="left" w:pos="4962"/>
      </w:tabs>
      <w:jc w:val="both"/>
    </w:pPr>
    <w:rPr>
      <w:sz w:val="22"/>
    </w:rPr>
  </w:style>
  <w:style w:type="character" w:customStyle="1" w:styleId="BodyTextChar">
    <w:name w:val="Body Text Char"/>
    <w:basedOn w:val="DefaultParagraphFont"/>
    <w:link w:val="BodyText"/>
    <w:rsid w:val="00596407"/>
    <w:rPr>
      <w:rFonts w:ascii="Trebuchet MS" w:eastAsia="Times New Roman" w:hAnsi="Trebuchet MS" w:cs="Times New Roman"/>
      <w:szCs w:val="20"/>
      <w:lang w:val="en-GB" w:eastAsia="en-GB" w:bidi="ar-SA"/>
    </w:rPr>
  </w:style>
  <w:style w:type="paragraph" w:styleId="Footer">
    <w:name w:val="footer"/>
    <w:basedOn w:val="Normal"/>
    <w:link w:val="FooterChar"/>
    <w:rsid w:val="00596407"/>
    <w:pPr>
      <w:tabs>
        <w:tab w:val="center" w:pos="4320"/>
        <w:tab w:val="right" w:pos="8640"/>
      </w:tabs>
    </w:pPr>
  </w:style>
  <w:style w:type="character" w:customStyle="1" w:styleId="FooterChar">
    <w:name w:val="Footer Char"/>
    <w:basedOn w:val="DefaultParagraphFont"/>
    <w:link w:val="Footer"/>
    <w:rsid w:val="00596407"/>
    <w:rPr>
      <w:rFonts w:ascii="Trebuchet MS" w:eastAsia="Times New Roman" w:hAnsi="Trebuchet MS" w:cs="Times New Roman"/>
      <w:sz w:val="20"/>
      <w:szCs w:val="20"/>
      <w:lang w:val="en-GB" w:eastAsia="en-GB" w:bidi="ar-SA"/>
    </w:rPr>
  </w:style>
  <w:style w:type="paragraph" w:styleId="Header">
    <w:name w:val="header"/>
    <w:basedOn w:val="Normal"/>
    <w:link w:val="HeaderChar"/>
    <w:rsid w:val="00596407"/>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596407"/>
    <w:rPr>
      <w:rFonts w:ascii="Trebuchet MS" w:eastAsia="Times" w:hAnsi="Trebuchet MS" w:cs="Times New Roman"/>
      <w:b/>
      <w:i/>
      <w:color w:val="000000"/>
      <w:sz w:val="20"/>
      <w:szCs w:val="20"/>
      <w:lang w:val="en-GB" w:eastAsia="en-GB" w:bidi="ar-SA"/>
    </w:rPr>
  </w:style>
  <w:style w:type="character" w:styleId="PageNumber">
    <w:name w:val="page number"/>
    <w:rsid w:val="00596407"/>
    <w:rPr>
      <w:rFonts w:ascii="Arial" w:hAnsi="Arial"/>
      <w:b/>
      <w:color w:val="000000"/>
      <w:sz w:val="20"/>
      <w:u w:val="none"/>
    </w:rPr>
  </w:style>
  <w:style w:type="paragraph" w:customStyle="1" w:styleId="AnnexH1">
    <w:name w:val="Annex H1"/>
    <w:rsid w:val="00596407"/>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596407"/>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596407"/>
    <w:pPr>
      <w:keepNext/>
      <w:numPr>
        <w:ilvl w:val="4"/>
        <w:numId w:val="1"/>
      </w:numPr>
      <w:spacing w:before="360"/>
    </w:pPr>
    <w:rPr>
      <w:b/>
      <w:sz w:val="24"/>
    </w:rPr>
  </w:style>
  <w:style w:type="paragraph" w:customStyle="1" w:styleId="Listbullet">
    <w:name w:val="List bullet"/>
    <w:basedOn w:val="Normal"/>
    <w:rsid w:val="00596407"/>
    <w:pPr>
      <w:numPr>
        <w:numId w:val="2"/>
      </w:numPr>
      <w:spacing w:after="120"/>
    </w:pPr>
    <w:rPr>
      <w:sz w:val="22"/>
      <w:lang w:val="en-US" w:eastAsia="zh-CN"/>
    </w:rPr>
  </w:style>
  <w:style w:type="paragraph" w:customStyle="1" w:styleId="AnnexTableText">
    <w:name w:val="Annex Table Text"/>
    <w:basedOn w:val="Normal"/>
    <w:rsid w:val="00596407"/>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12847</Characters>
  <Application>Microsoft Office Word</Application>
  <DocSecurity>0</DocSecurity>
  <Lines>107</Lines>
  <Paragraphs>30</Paragraphs>
  <ScaleCrop>false</ScaleCrop>
  <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2014-03-25T21:33:00Z</dcterms:created>
  <dcterms:modified xsi:type="dcterms:W3CDTF">2014-03-25T21:34:00Z</dcterms:modified>
</cp:coreProperties>
</file>