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6754E" w14:textId="77777777" w:rsidR="00486795" w:rsidRDefault="00486795" w:rsidP="00486795">
      <w:pPr>
        <w:pStyle w:val="SectionNUM"/>
        <w:ind w:left="340" w:hanging="340"/>
      </w:pPr>
      <w:bookmarkStart w:id="0" w:name="_Toc109531461"/>
      <w:r>
        <w:t>Macroeconomic conditions</w:t>
      </w:r>
      <w:bookmarkEnd w:id="0"/>
    </w:p>
    <w:p w14:paraId="6B6F23C0" w14:textId="77777777" w:rsidR="00486795" w:rsidRDefault="00486795" w:rsidP="00486795">
      <w:pPr>
        <w:pStyle w:val="Heading1"/>
        <w:ind w:firstLine="340"/>
        <w:rPr>
          <w:lang w:eastAsia="en-US"/>
        </w:rPr>
      </w:pPr>
      <w:r>
        <w:rPr>
          <w:lang w:eastAsia="en-US"/>
        </w:rPr>
        <w:t>Period 1998 – 2004</w:t>
      </w:r>
    </w:p>
    <w:p w14:paraId="21BB64AD" w14:textId="77777777" w:rsidR="00486795" w:rsidRDefault="00486795" w:rsidP="00486795">
      <w:pPr>
        <w:rPr>
          <w:lang w:eastAsia="en-US"/>
        </w:rPr>
      </w:pPr>
    </w:p>
    <w:p w14:paraId="2D12184A" w14:textId="77777777" w:rsidR="00486795" w:rsidRDefault="00486795" w:rsidP="00486795">
      <w:pPr>
        <w:pStyle w:val="BodyText"/>
      </w:pPr>
      <w:r>
        <w:t>Economic developments during 2004 have followed a similar pattern to 2003 and have consolidated the progress made since 1998, with the following key features:</w:t>
      </w:r>
    </w:p>
    <w:p w14:paraId="2A3AA7C0" w14:textId="77777777" w:rsidR="00486795" w:rsidRDefault="00486795" w:rsidP="00486795">
      <w:pPr>
        <w:pStyle w:val="Listbullet"/>
        <w:jc w:val="both"/>
        <w:rPr>
          <w:lang w:val="en-GB"/>
        </w:rPr>
      </w:pPr>
      <w:r>
        <w:rPr>
          <w:lang w:val="en-GB"/>
        </w:rPr>
        <w:t>Relatively high economic growth (at about 6% in real terms);</w:t>
      </w:r>
    </w:p>
    <w:p w14:paraId="27423490" w14:textId="77777777" w:rsidR="00486795" w:rsidRDefault="00486795" w:rsidP="00486795">
      <w:pPr>
        <w:pStyle w:val="Listbullet"/>
        <w:jc w:val="both"/>
        <w:rPr>
          <w:lang w:val="en-GB"/>
        </w:rPr>
      </w:pPr>
      <w:r>
        <w:rPr>
          <w:lang w:val="en-GB"/>
        </w:rPr>
        <w:t>Low annual inflation (at 2.9%);</w:t>
      </w:r>
      <w:bookmarkStart w:id="1" w:name="_GoBack"/>
      <w:bookmarkEnd w:id="1"/>
    </w:p>
    <w:p w14:paraId="31E73A8D" w14:textId="77777777" w:rsidR="00486795" w:rsidRDefault="00486795" w:rsidP="00486795">
      <w:pPr>
        <w:pStyle w:val="Listbullet"/>
        <w:jc w:val="both"/>
        <w:rPr>
          <w:lang w:val="en-GB"/>
        </w:rPr>
      </w:pPr>
      <w:r>
        <w:rPr>
          <w:lang w:val="en-GB"/>
        </w:rPr>
        <w:t xml:space="preserve">Decreasing deficit of the government budget (down to 4.6% of GDP); </w:t>
      </w:r>
    </w:p>
    <w:p w14:paraId="0EBDFC95" w14:textId="77777777" w:rsidR="00486795" w:rsidRDefault="00486795" w:rsidP="00486795">
      <w:pPr>
        <w:pStyle w:val="Listbullet"/>
        <w:jc w:val="both"/>
        <w:rPr>
          <w:lang w:val="en-GB"/>
        </w:rPr>
      </w:pPr>
      <w:r>
        <w:rPr>
          <w:lang w:val="en-GB"/>
        </w:rPr>
        <w:t>Improvements in the balance of payments, with an increase in reserves;</w:t>
      </w:r>
    </w:p>
    <w:p w14:paraId="298F8CF0" w14:textId="77777777" w:rsidR="00486795" w:rsidRDefault="00486795" w:rsidP="00486795">
      <w:pPr>
        <w:pStyle w:val="Listbullet"/>
        <w:jc w:val="both"/>
        <w:rPr>
          <w:lang w:val="en-GB"/>
        </w:rPr>
      </w:pPr>
      <w:r>
        <w:rPr>
          <w:lang w:val="en-GB"/>
        </w:rPr>
        <w:t>Strong exchange rate.</w:t>
      </w:r>
    </w:p>
    <w:p w14:paraId="031E9E7F" w14:textId="77777777" w:rsidR="00486795" w:rsidRDefault="00486795" w:rsidP="00486795">
      <w:pPr>
        <w:pStyle w:val="BodyText"/>
      </w:pPr>
      <w:r>
        <w:t>If the current progress in Albania can be maintained over the next decade, the incidence of relative poverty should be halved, absolute poverty will be eliminated, average incomes will be nearly double their current levels and the gap between Albania and neighbouring countries will be substantially reduced. The main macroeconomic indicators for 1998-2004 are given in the table below:</w:t>
      </w:r>
    </w:p>
    <w:p w14:paraId="48B3104E" w14:textId="77777777" w:rsidR="00486795" w:rsidRDefault="00486795" w:rsidP="00486795">
      <w:pPr>
        <w:pStyle w:val="Table"/>
        <w:numPr>
          <w:ilvl w:val="4"/>
          <w:numId w:val="0"/>
        </w:numPr>
        <w:tabs>
          <w:tab w:val="num" w:pos="1008"/>
        </w:tabs>
        <w:ind w:left="1008" w:hanging="1008"/>
      </w:pPr>
      <w:bookmarkStart w:id="2" w:name="_Toc109495227"/>
      <w:r>
        <w:t>Key macroeconomic indicators</w:t>
      </w:r>
      <w:bookmarkEnd w:id="2"/>
    </w:p>
    <w:tbl>
      <w:tblPr>
        <w:tblW w:w="9639" w:type="dxa"/>
        <w:jc w:val="center"/>
        <w:tblBorders>
          <w:top w:val="single" w:sz="12" w:space="0" w:color="000000"/>
          <w:bottom w:val="single" w:sz="12" w:space="0" w:color="000000"/>
        </w:tblBorders>
        <w:tblLook w:val="01E0" w:firstRow="1" w:lastRow="1" w:firstColumn="1" w:lastColumn="1" w:noHBand="0" w:noVBand="0"/>
      </w:tblPr>
      <w:tblGrid>
        <w:gridCol w:w="2120"/>
        <w:gridCol w:w="1445"/>
        <w:gridCol w:w="867"/>
        <w:gridCol w:w="867"/>
        <w:gridCol w:w="868"/>
        <w:gridCol w:w="868"/>
        <w:gridCol w:w="868"/>
        <w:gridCol w:w="868"/>
        <w:gridCol w:w="868"/>
      </w:tblGrid>
      <w:tr w:rsidR="00486795" w14:paraId="3F4E5EBF" w14:textId="77777777" w:rsidTr="00E964F6">
        <w:trPr>
          <w:jc w:val="center"/>
        </w:trPr>
        <w:tc>
          <w:tcPr>
            <w:tcW w:w="1100" w:type="pct"/>
            <w:tcBorders>
              <w:bottom w:val="single" w:sz="12" w:space="0" w:color="000000"/>
            </w:tcBorders>
          </w:tcPr>
          <w:p w14:paraId="18855396" w14:textId="77777777" w:rsidR="00486795" w:rsidRDefault="00486795" w:rsidP="00E964F6">
            <w:pPr>
              <w:pStyle w:val="TableText"/>
            </w:pPr>
          </w:p>
        </w:tc>
        <w:tc>
          <w:tcPr>
            <w:tcW w:w="750" w:type="pct"/>
            <w:tcBorders>
              <w:bottom w:val="single" w:sz="12" w:space="0" w:color="000000"/>
            </w:tcBorders>
          </w:tcPr>
          <w:p w14:paraId="4DE46467" w14:textId="77777777" w:rsidR="00486795" w:rsidRDefault="00486795" w:rsidP="00E964F6">
            <w:pPr>
              <w:pStyle w:val="TableText"/>
            </w:pPr>
            <w:r>
              <w:t>Unit</w:t>
            </w:r>
          </w:p>
        </w:tc>
        <w:tc>
          <w:tcPr>
            <w:tcW w:w="450" w:type="pct"/>
            <w:tcBorders>
              <w:bottom w:val="single" w:sz="12" w:space="0" w:color="000000"/>
            </w:tcBorders>
          </w:tcPr>
          <w:p w14:paraId="4DECA520" w14:textId="77777777" w:rsidR="00486795" w:rsidRDefault="00486795" w:rsidP="00E964F6">
            <w:pPr>
              <w:pStyle w:val="TableText"/>
            </w:pPr>
            <w:r>
              <w:t>1998</w:t>
            </w:r>
          </w:p>
        </w:tc>
        <w:tc>
          <w:tcPr>
            <w:tcW w:w="450" w:type="pct"/>
            <w:tcBorders>
              <w:bottom w:val="single" w:sz="12" w:space="0" w:color="000000"/>
            </w:tcBorders>
          </w:tcPr>
          <w:p w14:paraId="0A879113" w14:textId="77777777" w:rsidR="00486795" w:rsidRDefault="00486795" w:rsidP="00E964F6">
            <w:pPr>
              <w:pStyle w:val="TableText"/>
            </w:pPr>
            <w:r>
              <w:t>1999</w:t>
            </w:r>
          </w:p>
        </w:tc>
        <w:tc>
          <w:tcPr>
            <w:tcW w:w="450" w:type="pct"/>
            <w:tcBorders>
              <w:bottom w:val="single" w:sz="12" w:space="0" w:color="000000"/>
            </w:tcBorders>
          </w:tcPr>
          <w:p w14:paraId="0DD52E38" w14:textId="77777777" w:rsidR="00486795" w:rsidRDefault="00486795" w:rsidP="00E964F6">
            <w:pPr>
              <w:pStyle w:val="TableText"/>
            </w:pPr>
            <w:r>
              <w:t>2000</w:t>
            </w:r>
          </w:p>
        </w:tc>
        <w:tc>
          <w:tcPr>
            <w:tcW w:w="450" w:type="pct"/>
            <w:tcBorders>
              <w:bottom w:val="single" w:sz="12" w:space="0" w:color="000000"/>
            </w:tcBorders>
          </w:tcPr>
          <w:p w14:paraId="465AC32E" w14:textId="77777777" w:rsidR="00486795" w:rsidRDefault="00486795" w:rsidP="00E964F6">
            <w:pPr>
              <w:pStyle w:val="TableText"/>
            </w:pPr>
            <w:r>
              <w:t>2001</w:t>
            </w:r>
          </w:p>
        </w:tc>
        <w:tc>
          <w:tcPr>
            <w:tcW w:w="450" w:type="pct"/>
            <w:tcBorders>
              <w:bottom w:val="single" w:sz="12" w:space="0" w:color="000000"/>
            </w:tcBorders>
          </w:tcPr>
          <w:p w14:paraId="22FE9554" w14:textId="77777777" w:rsidR="00486795" w:rsidRDefault="00486795" w:rsidP="00E964F6">
            <w:pPr>
              <w:pStyle w:val="TableText"/>
            </w:pPr>
            <w:r>
              <w:t>2002</w:t>
            </w:r>
          </w:p>
        </w:tc>
        <w:tc>
          <w:tcPr>
            <w:tcW w:w="450" w:type="pct"/>
            <w:tcBorders>
              <w:bottom w:val="single" w:sz="12" w:space="0" w:color="000000"/>
            </w:tcBorders>
          </w:tcPr>
          <w:p w14:paraId="1BB37449" w14:textId="77777777" w:rsidR="00486795" w:rsidRDefault="00486795" w:rsidP="00E964F6">
            <w:pPr>
              <w:pStyle w:val="TableText"/>
            </w:pPr>
            <w:r>
              <w:t>2003</w:t>
            </w:r>
          </w:p>
        </w:tc>
        <w:tc>
          <w:tcPr>
            <w:tcW w:w="450" w:type="pct"/>
            <w:tcBorders>
              <w:bottom w:val="single" w:sz="12" w:space="0" w:color="000000"/>
            </w:tcBorders>
          </w:tcPr>
          <w:p w14:paraId="4E80D3E9" w14:textId="77777777" w:rsidR="00486795" w:rsidRDefault="00486795" w:rsidP="00E964F6">
            <w:pPr>
              <w:pStyle w:val="TableText"/>
            </w:pPr>
            <w:r>
              <w:t>2004</w:t>
            </w:r>
          </w:p>
        </w:tc>
      </w:tr>
      <w:tr w:rsidR="00486795" w14:paraId="0DE7DBD3" w14:textId="77777777" w:rsidTr="00E964F6">
        <w:trPr>
          <w:jc w:val="center"/>
        </w:trPr>
        <w:tc>
          <w:tcPr>
            <w:tcW w:w="1100" w:type="pct"/>
          </w:tcPr>
          <w:p w14:paraId="3C959BB4" w14:textId="77777777" w:rsidR="00486795" w:rsidRDefault="00486795" w:rsidP="00E964F6">
            <w:pPr>
              <w:pStyle w:val="TableText"/>
            </w:pPr>
            <w:r>
              <w:t>Population</w:t>
            </w:r>
          </w:p>
        </w:tc>
        <w:tc>
          <w:tcPr>
            <w:tcW w:w="750" w:type="pct"/>
          </w:tcPr>
          <w:p w14:paraId="52832BD2" w14:textId="77777777" w:rsidR="00486795" w:rsidRDefault="00486795" w:rsidP="00E964F6">
            <w:pPr>
              <w:pStyle w:val="TableText"/>
            </w:pPr>
            <w:r>
              <w:t>Million</w:t>
            </w:r>
          </w:p>
        </w:tc>
        <w:tc>
          <w:tcPr>
            <w:tcW w:w="450" w:type="pct"/>
          </w:tcPr>
          <w:p w14:paraId="0D34F28E" w14:textId="77777777" w:rsidR="00486795" w:rsidRDefault="00486795" w:rsidP="00E964F6">
            <w:pPr>
              <w:pStyle w:val="TableText"/>
            </w:pPr>
            <w:r>
              <w:t>3.35</w:t>
            </w:r>
          </w:p>
        </w:tc>
        <w:tc>
          <w:tcPr>
            <w:tcW w:w="450" w:type="pct"/>
          </w:tcPr>
          <w:p w14:paraId="4349EE34" w14:textId="77777777" w:rsidR="00486795" w:rsidRDefault="00486795" w:rsidP="00E964F6">
            <w:pPr>
              <w:pStyle w:val="TableText"/>
            </w:pPr>
            <w:r>
              <w:t>3.37</w:t>
            </w:r>
          </w:p>
        </w:tc>
        <w:tc>
          <w:tcPr>
            <w:tcW w:w="450" w:type="pct"/>
          </w:tcPr>
          <w:p w14:paraId="064418B6" w14:textId="77777777" w:rsidR="00486795" w:rsidRDefault="00486795" w:rsidP="00E964F6">
            <w:pPr>
              <w:pStyle w:val="TableText"/>
            </w:pPr>
            <w:r>
              <w:t>3.23</w:t>
            </w:r>
          </w:p>
        </w:tc>
        <w:tc>
          <w:tcPr>
            <w:tcW w:w="450" w:type="pct"/>
          </w:tcPr>
          <w:p w14:paraId="7D74AD18" w14:textId="77777777" w:rsidR="00486795" w:rsidRDefault="00486795" w:rsidP="00E964F6">
            <w:pPr>
              <w:pStyle w:val="TableText"/>
            </w:pPr>
            <w:r>
              <w:t>3.08</w:t>
            </w:r>
          </w:p>
        </w:tc>
        <w:tc>
          <w:tcPr>
            <w:tcW w:w="450" w:type="pct"/>
          </w:tcPr>
          <w:p w14:paraId="00216DA8" w14:textId="77777777" w:rsidR="00486795" w:rsidRDefault="00486795" w:rsidP="00E964F6">
            <w:pPr>
              <w:pStyle w:val="TableText"/>
            </w:pPr>
            <w:r>
              <w:t>3.10</w:t>
            </w:r>
          </w:p>
        </w:tc>
        <w:tc>
          <w:tcPr>
            <w:tcW w:w="450" w:type="pct"/>
          </w:tcPr>
          <w:p w14:paraId="1D7863EE" w14:textId="77777777" w:rsidR="00486795" w:rsidRDefault="00486795" w:rsidP="00E964F6">
            <w:pPr>
              <w:pStyle w:val="TableText"/>
            </w:pPr>
            <w:r>
              <w:t>3.10</w:t>
            </w:r>
          </w:p>
        </w:tc>
        <w:tc>
          <w:tcPr>
            <w:tcW w:w="450" w:type="pct"/>
          </w:tcPr>
          <w:p w14:paraId="2E9E6726" w14:textId="77777777" w:rsidR="00486795" w:rsidRDefault="00486795" w:rsidP="00E964F6">
            <w:pPr>
              <w:pStyle w:val="TableText"/>
            </w:pPr>
            <w:r>
              <w:t>3.12</w:t>
            </w:r>
          </w:p>
        </w:tc>
      </w:tr>
      <w:tr w:rsidR="00486795" w14:paraId="54C76787" w14:textId="77777777" w:rsidTr="00E964F6">
        <w:trPr>
          <w:jc w:val="center"/>
        </w:trPr>
        <w:tc>
          <w:tcPr>
            <w:tcW w:w="1100" w:type="pct"/>
          </w:tcPr>
          <w:p w14:paraId="12E8D7EA" w14:textId="77777777" w:rsidR="00486795" w:rsidRDefault="00486795" w:rsidP="00E964F6">
            <w:pPr>
              <w:pStyle w:val="TableText"/>
            </w:pPr>
            <w:r>
              <w:t>Inflation (average)</w:t>
            </w:r>
          </w:p>
        </w:tc>
        <w:tc>
          <w:tcPr>
            <w:tcW w:w="750" w:type="pct"/>
          </w:tcPr>
          <w:p w14:paraId="09AFF092" w14:textId="77777777" w:rsidR="00486795" w:rsidRDefault="00486795" w:rsidP="00E964F6">
            <w:pPr>
              <w:pStyle w:val="TableText"/>
            </w:pPr>
            <w:r>
              <w:t>%</w:t>
            </w:r>
          </w:p>
        </w:tc>
        <w:tc>
          <w:tcPr>
            <w:tcW w:w="450" w:type="pct"/>
          </w:tcPr>
          <w:p w14:paraId="3DACCC3C" w14:textId="77777777" w:rsidR="00486795" w:rsidRDefault="00486795" w:rsidP="00E964F6">
            <w:pPr>
              <w:pStyle w:val="TableText"/>
            </w:pPr>
            <w:r>
              <w:t>20.9</w:t>
            </w:r>
          </w:p>
        </w:tc>
        <w:tc>
          <w:tcPr>
            <w:tcW w:w="450" w:type="pct"/>
          </w:tcPr>
          <w:p w14:paraId="2923E04E" w14:textId="77777777" w:rsidR="00486795" w:rsidRDefault="00486795" w:rsidP="00E964F6">
            <w:pPr>
              <w:pStyle w:val="TableText"/>
            </w:pPr>
            <w:r>
              <w:t>0.4</w:t>
            </w:r>
          </w:p>
        </w:tc>
        <w:tc>
          <w:tcPr>
            <w:tcW w:w="450" w:type="pct"/>
          </w:tcPr>
          <w:p w14:paraId="6060E740" w14:textId="77777777" w:rsidR="00486795" w:rsidRDefault="00486795" w:rsidP="00E964F6">
            <w:pPr>
              <w:pStyle w:val="TableText"/>
            </w:pPr>
            <w:r>
              <w:t>0.0</w:t>
            </w:r>
          </w:p>
        </w:tc>
        <w:tc>
          <w:tcPr>
            <w:tcW w:w="450" w:type="pct"/>
          </w:tcPr>
          <w:p w14:paraId="00947711" w14:textId="77777777" w:rsidR="00486795" w:rsidRDefault="00486795" w:rsidP="00E964F6">
            <w:pPr>
              <w:pStyle w:val="TableText"/>
            </w:pPr>
            <w:r>
              <w:t>3.1</w:t>
            </w:r>
          </w:p>
        </w:tc>
        <w:tc>
          <w:tcPr>
            <w:tcW w:w="450" w:type="pct"/>
          </w:tcPr>
          <w:p w14:paraId="5AA88178" w14:textId="77777777" w:rsidR="00486795" w:rsidRDefault="00486795" w:rsidP="00E964F6">
            <w:pPr>
              <w:pStyle w:val="TableText"/>
            </w:pPr>
            <w:r>
              <w:t>5.2</w:t>
            </w:r>
          </w:p>
        </w:tc>
        <w:tc>
          <w:tcPr>
            <w:tcW w:w="450" w:type="pct"/>
          </w:tcPr>
          <w:p w14:paraId="0D7BBE93" w14:textId="77777777" w:rsidR="00486795" w:rsidRDefault="00486795" w:rsidP="00E964F6">
            <w:pPr>
              <w:pStyle w:val="TableText"/>
            </w:pPr>
            <w:r>
              <w:t>2.4</w:t>
            </w:r>
          </w:p>
        </w:tc>
        <w:tc>
          <w:tcPr>
            <w:tcW w:w="450" w:type="pct"/>
          </w:tcPr>
          <w:p w14:paraId="5F4AD482" w14:textId="77777777" w:rsidR="00486795" w:rsidRDefault="00486795" w:rsidP="00E964F6">
            <w:pPr>
              <w:pStyle w:val="TableText"/>
            </w:pPr>
            <w:r>
              <w:t>2.9</w:t>
            </w:r>
          </w:p>
        </w:tc>
      </w:tr>
      <w:tr w:rsidR="00486795" w14:paraId="40B6AAD8" w14:textId="77777777" w:rsidTr="00E964F6">
        <w:trPr>
          <w:jc w:val="center"/>
        </w:trPr>
        <w:tc>
          <w:tcPr>
            <w:tcW w:w="1100" w:type="pct"/>
          </w:tcPr>
          <w:p w14:paraId="00DB79E4" w14:textId="77777777" w:rsidR="00486795" w:rsidRDefault="00486795" w:rsidP="00E964F6">
            <w:pPr>
              <w:pStyle w:val="TableText"/>
            </w:pPr>
            <w:r>
              <w:t>Exchange rate</w:t>
            </w:r>
          </w:p>
        </w:tc>
        <w:tc>
          <w:tcPr>
            <w:tcW w:w="750" w:type="pct"/>
          </w:tcPr>
          <w:p w14:paraId="7EDFDD1E" w14:textId="77777777" w:rsidR="00486795" w:rsidRDefault="00486795" w:rsidP="00E964F6">
            <w:pPr>
              <w:pStyle w:val="TableText"/>
            </w:pPr>
            <w:proofErr w:type="spellStart"/>
            <w:r>
              <w:t>Lek</w:t>
            </w:r>
            <w:proofErr w:type="spellEnd"/>
            <w:r>
              <w:t xml:space="preserve"> / $US</w:t>
            </w:r>
          </w:p>
        </w:tc>
        <w:tc>
          <w:tcPr>
            <w:tcW w:w="450" w:type="pct"/>
          </w:tcPr>
          <w:p w14:paraId="6D32B811" w14:textId="77777777" w:rsidR="00486795" w:rsidRDefault="00486795" w:rsidP="00E964F6">
            <w:pPr>
              <w:pStyle w:val="TableText"/>
            </w:pPr>
            <w:r>
              <w:t>150.6</w:t>
            </w:r>
          </w:p>
        </w:tc>
        <w:tc>
          <w:tcPr>
            <w:tcW w:w="450" w:type="pct"/>
          </w:tcPr>
          <w:p w14:paraId="4DCC4668" w14:textId="77777777" w:rsidR="00486795" w:rsidRDefault="00486795" w:rsidP="00E964F6">
            <w:pPr>
              <w:pStyle w:val="TableText"/>
            </w:pPr>
            <w:r>
              <w:t>137.7</w:t>
            </w:r>
          </w:p>
        </w:tc>
        <w:tc>
          <w:tcPr>
            <w:tcW w:w="450" w:type="pct"/>
          </w:tcPr>
          <w:p w14:paraId="30B5E2B7" w14:textId="77777777" w:rsidR="00486795" w:rsidRDefault="00486795" w:rsidP="00E964F6">
            <w:pPr>
              <w:pStyle w:val="TableText"/>
            </w:pPr>
            <w:r>
              <w:t>143.7</w:t>
            </w:r>
          </w:p>
        </w:tc>
        <w:tc>
          <w:tcPr>
            <w:tcW w:w="450" w:type="pct"/>
          </w:tcPr>
          <w:p w14:paraId="4CC765A4" w14:textId="77777777" w:rsidR="00486795" w:rsidRDefault="00486795" w:rsidP="00E964F6">
            <w:pPr>
              <w:pStyle w:val="TableText"/>
            </w:pPr>
            <w:r>
              <w:t>143.5</w:t>
            </w:r>
          </w:p>
        </w:tc>
        <w:tc>
          <w:tcPr>
            <w:tcW w:w="450" w:type="pct"/>
          </w:tcPr>
          <w:p w14:paraId="18931248" w14:textId="77777777" w:rsidR="00486795" w:rsidRDefault="00486795" w:rsidP="00E964F6">
            <w:pPr>
              <w:pStyle w:val="TableText"/>
            </w:pPr>
            <w:r>
              <w:t>140.2</w:t>
            </w:r>
          </w:p>
        </w:tc>
        <w:tc>
          <w:tcPr>
            <w:tcW w:w="450" w:type="pct"/>
          </w:tcPr>
          <w:p w14:paraId="5D31157E" w14:textId="77777777" w:rsidR="00486795" w:rsidRDefault="00486795" w:rsidP="00E964F6">
            <w:pPr>
              <w:pStyle w:val="TableText"/>
            </w:pPr>
            <w:r>
              <w:t>121.9</w:t>
            </w:r>
          </w:p>
        </w:tc>
        <w:tc>
          <w:tcPr>
            <w:tcW w:w="450" w:type="pct"/>
          </w:tcPr>
          <w:p w14:paraId="3F126B99" w14:textId="77777777" w:rsidR="00486795" w:rsidRDefault="00486795" w:rsidP="00E964F6">
            <w:pPr>
              <w:pStyle w:val="TableText"/>
            </w:pPr>
            <w:r>
              <w:t>102.8</w:t>
            </w:r>
          </w:p>
        </w:tc>
      </w:tr>
      <w:tr w:rsidR="00486795" w14:paraId="547B947F" w14:textId="77777777" w:rsidTr="00E964F6">
        <w:trPr>
          <w:jc w:val="center"/>
        </w:trPr>
        <w:tc>
          <w:tcPr>
            <w:tcW w:w="1100" w:type="pct"/>
            <w:tcBorders>
              <w:bottom w:val="single" w:sz="4" w:space="0" w:color="auto"/>
            </w:tcBorders>
          </w:tcPr>
          <w:p w14:paraId="3AC4E747" w14:textId="77777777" w:rsidR="00486795" w:rsidRDefault="00486795" w:rsidP="00E964F6">
            <w:pPr>
              <w:pStyle w:val="TableText"/>
            </w:pPr>
          </w:p>
        </w:tc>
        <w:tc>
          <w:tcPr>
            <w:tcW w:w="750" w:type="pct"/>
            <w:tcBorders>
              <w:bottom w:val="single" w:sz="4" w:space="0" w:color="auto"/>
            </w:tcBorders>
          </w:tcPr>
          <w:p w14:paraId="2EE95B39" w14:textId="77777777" w:rsidR="00486795" w:rsidRDefault="00486795" w:rsidP="00E964F6">
            <w:pPr>
              <w:pStyle w:val="TableText"/>
            </w:pPr>
            <w:proofErr w:type="spellStart"/>
            <w:r>
              <w:t>Lek</w:t>
            </w:r>
            <w:proofErr w:type="spellEnd"/>
            <w:r>
              <w:t xml:space="preserve"> / Euro</w:t>
            </w:r>
          </w:p>
        </w:tc>
        <w:tc>
          <w:tcPr>
            <w:tcW w:w="450" w:type="pct"/>
            <w:tcBorders>
              <w:bottom w:val="single" w:sz="4" w:space="0" w:color="auto"/>
            </w:tcBorders>
          </w:tcPr>
          <w:p w14:paraId="495D57AC" w14:textId="77777777" w:rsidR="00486795" w:rsidRDefault="00486795" w:rsidP="00E964F6">
            <w:pPr>
              <w:pStyle w:val="TableText"/>
            </w:pPr>
          </w:p>
        </w:tc>
        <w:tc>
          <w:tcPr>
            <w:tcW w:w="450" w:type="pct"/>
            <w:tcBorders>
              <w:bottom w:val="single" w:sz="4" w:space="0" w:color="auto"/>
            </w:tcBorders>
          </w:tcPr>
          <w:p w14:paraId="1CF943A5" w14:textId="77777777" w:rsidR="00486795" w:rsidRDefault="00486795" w:rsidP="00E964F6">
            <w:pPr>
              <w:pStyle w:val="TableText"/>
            </w:pPr>
            <w:r>
              <w:t>147.0</w:t>
            </w:r>
          </w:p>
        </w:tc>
        <w:tc>
          <w:tcPr>
            <w:tcW w:w="450" w:type="pct"/>
            <w:tcBorders>
              <w:bottom w:val="single" w:sz="4" w:space="0" w:color="auto"/>
            </w:tcBorders>
          </w:tcPr>
          <w:p w14:paraId="21A4C279" w14:textId="77777777" w:rsidR="00486795" w:rsidRDefault="00486795" w:rsidP="00E964F6">
            <w:pPr>
              <w:pStyle w:val="TableText"/>
            </w:pPr>
            <w:r>
              <w:t>132.6</w:t>
            </w:r>
          </w:p>
        </w:tc>
        <w:tc>
          <w:tcPr>
            <w:tcW w:w="450" w:type="pct"/>
            <w:tcBorders>
              <w:bottom w:val="single" w:sz="4" w:space="0" w:color="auto"/>
            </w:tcBorders>
          </w:tcPr>
          <w:p w14:paraId="48C551E8" w14:textId="77777777" w:rsidR="00486795" w:rsidRDefault="00486795" w:rsidP="00E964F6">
            <w:pPr>
              <w:pStyle w:val="TableText"/>
            </w:pPr>
            <w:r>
              <w:t>128.5</w:t>
            </w:r>
          </w:p>
        </w:tc>
        <w:tc>
          <w:tcPr>
            <w:tcW w:w="450" w:type="pct"/>
            <w:tcBorders>
              <w:bottom w:val="single" w:sz="4" w:space="0" w:color="auto"/>
            </w:tcBorders>
          </w:tcPr>
          <w:p w14:paraId="54E402BA" w14:textId="77777777" w:rsidR="00486795" w:rsidRDefault="00486795" w:rsidP="00E964F6">
            <w:pPr>
              <w:pStyle w:val="TableText"/>
            </w:pPr>
            <w:r>
              <w:t>132.4</w:t>
            </w:r>
          </w:p>
        </w:tc>
        <w:tc>
          <w:tcPr>
            <w:tcW w:w="450" w:type="pct"/>
            <w:tcBorders>
              <w:bottom w:val="single" w:sz="4" w:space="0" w:color="auto"/>
            </w:tcBorders>
          </w:tcPr>
          <w:p w14:paraId="4A49846B" w14:textId="77777777" w:rsidR="00486795" w:rsidRDefault="00486795" w:rsidP="00E964F6">
            <w:pPr>
              <w:pStyle w:val="TableText"/>
            </w:pPr>
            <w:r>
              <w:t>137.5</w:t>
            </w:r>
          </w:p>
        </w:tc>
        <w:tc>
          <w:tcPr>
            <w:tcW w:w="450" w:type="pct"/>
            <w:tcBorders>
              <w:bottom w:val="single" w:sz="4" w:space="0" w:color="auto"/>
            </w:tcBorders>
          </w:tcPr>
          <w:p w14:paraId="0169D777" w14:textId="77777777" w:rsidR="00486795" w:rsidRDefault="00486795" w:rsidP="00E964F6">
            <w:pPr>
              <w:pStyle w:val="TableText"/>
            </w:pPr>
            <w:r>
              <w:t>127.7</w:t>
            </w:r>
          </w:p>
        </w:tc>
      </w:tr>
      <w:tr w:rsidR="00486795" w14:paraId="700401E5" w14:textId="77777777" w:rsidTr="00E964F6">
        <w:trPr>
          <w:jc w:val="center"/>
        </w:trPr>
        <w:tc>
          <w:tcPr>
            <w:tcW w:w="1100" w:type="pct"/>
            <w:tcBorders>
              <w:top w:val="single" w:sz="4" w:space="0" w:color="auto"/>
              <w:bottom w:val="nil"/>
            </w:tcBorders>
          </w:tcPr>
          <w:p w14:paraId="23FCA2AF" w14:textId="77777777" w:rsidR="00486795" w:rsidRDefault="00486795" w:rsidP="00E964F6">
            <w:pPr>
              <w:pStyle w:val="TableText"/>
            </w:pPr>
            <w:r>
              <w:t>Output</w:t>
            </w:r>
          </w:p>
        </w:tc>
        <w:tc>
          <w:tcPr>
            <w:tcW w:w="750" w:type="pct"/>
            <w:tcBorders>
              <w:top w:val="single" w:sz="4" w:space="0" w:color="auto"/>
              <w:bottom w:val="nil"/>
            </w:tcBorders>
          </w:tcPr>
          <w:p w14:paraId="2DF9CAA6" w14:textId="77777777" w:rsidR="00486795" w:rsidRDefault="00486795" w:rsidP="00E964F6">
            <w:pPr>
              <w:pStyle w:val="TableText"/>
            </w:pPr>
          </w:p>
        </w:tc>
        <w:tc>
          <w:tcPr>
            <w:tcW w:w="450" w:type="pct"/>
            <w:tcBorders>
              <w:top w:val="single" w:sz="4" w:space="0" w:color="auto"/>
              <w:bottom w:val="nil"/>
            </w:tcBorders>
          </w:tcPr>
          <w:p w14:paraId="62E0092F" w14:textId="77777777" w:rsidR="00486795" w:rsidRDefault="00486795" w:rsidP="00E964F6">
            <w:pPr>
              <w:pStyle w:val="TableText"/>
            </w:pPr>
          </w:p>
        </w:tc>
        <w:tc>
          <w:tcPr>
            <w:tcW w:w="450" w:type="pct"/>
            <w:tcBorders>
              <w:top w:val="single" w:sz="4" w:space="0" w:color="auto"/>
              <w:bottom w:val="nil"/>
            </w:tcBorders>
          </w:tcPr>
          <w:p w14:paraId="47CD49D5" w14:textId="77777777" w:rsidR="00486795" w:rsidRDefault="00486795" w:rsidP="00E964F6">
            <w:pPr>
              <w:pStyle w:val="TableText"/>
            </w:pPr>
          </w:p>
        </w:tc>
        <w:tc>
          <w:tcPr>
            <w:tcW w:w="450" w:type="pct"/>
            <w:tcBorders>
              <w:top w:val="single" w:sz="4" w:space="0" w:color="auto"/>
              <w:bottom w:val="nil"/>
            </w:tcBorders>
          </w:tcPr>
          <w:p w14:paraId="29965097" w14:textId="77777777" w:rsidR="00486795" w:rsidRDefault="00486795" w:rsidP="00E964F6">
            <w:pPr>
              <w:pStyle w:val="TableText"/>
            </w:pPr>
          </w:p>
        </w:tc>
        <w:tc>
          <w:tcPr>
            <w:tcW w:w="450" w:type="pct"/>
            <w:tcBorders>
              <w:top w:val="single" w:sz="4" w:space="0" w:color="auto"/>
              <w:bottom w:val="nil"/>
            </w:tcBorders>
          </w:tcPr>
          <w:p w14:paraId="069E6D07" w14:textId="77777777" w:rsidR="00486795" w:rsidRDefault="00486795" w:rsidP="00E964F6">
            <w:pPr>
              <w:pStyle w:val="TableText"/>
            </w:pPr>
          </w:p>
        </w:tc>
        <w:tc>
          <w:tcPr>
            <w:tcW w:w="450" w:type="pct"/>
            <w:tcBorders>
              <w:top w:val="single" w:sz="4" w:space="0" w:color="auto"/>
              <w:bottom w:val="nil"/>
            </w:tcBorders>
          </w:tcPr>
          <w:p w14:paraId="06C9538E" w14:textId="77777777" w:rsidR="00486795" w:rsidRDefault="00486795" w:rsidP="00E964F6">
            <w:pPr>
              <w:pStyle w:val="TableText"/>
            </w:pPr>
          </w:p>
        </w:tc>
        <w:tc>
          <w:tcPr>
            <w:tcW w:w="450" w:type="pct"/>
            <w:tcBorders>
              <w:top w:val="single" w:sz="4" w:space="0" w:color="auto"/>
              <w:bottom w:val="nil"/>
            </w:tcBorders>
          </w:tcPr>
          <w:p w14:paraId="74970FED" w14:textId="77777777" w:rsidR="00486795" w:rsidRDefault="00486795" w:rsidP="00E964F6">
            <w:pPr>
              <w:pStyle w:val="TableText"/>
            </w:pPr>
          </w:p>
        </w:tc>
        <w:tc>
          <w:tcPr>
            <w:tcW w:w="450" w:type="pct"/>
            <w:tcBorders>
              <w:top w:val="single" w:sz="4" w:space="0" w:color="auto"/>
              <w:bottom w:val="nil"/>
            </w:tcBorders>
          </w:tcPr>
          <w:p w14:paraId="624AF0C8" w14:textId="77777777" w:rsidR="00486795" w:rsidRDefault="00486795" w:rsidP="00E964F6">
            <w:pPr>
              <w:pStyle w:val="TableText"/>
            </w:pPr>
          </w:p>
        </w:tc>
      </w:tr>
      <w:tr w:rsidR="00486795" w14:paraId="582DE179" w14:textId="77777777" w:rsidTr="00E964F6">
        <w:trPr>
          <w:jc w:val="center"/>
        </w:trPr>
        <w:tc>
          <w:tcPr>
            <w:tcW w:w="1100" w:type="pct"/>
            <w:tcBorders>
              <w:top w:val="nil"/>
            </w:tcBorders>
          </w:tcPr>
          <w:p w14:paraId="64C994D7" w14:textId="77777777" w:rsidR="00486795" w:rsidRDefault="00486795" w:rsidP="00E964F6">
            <w:pPr>
              <w:pStyle w:val="TableText"/>
            </w:pPr>
            <w:r>
              <w:t>Gross Domestic Product</w:t>
            </w:r>
          </w:p>
        </w:tc>
        <w:tc>
          <w:tcPr>
            <w:tcW w:w="750" w:type="pct"/>
            <w:tcBorders>
              <w:top w:val="nil"/>
            </w:tcBorders>
          </w:tcPr>
          <w:p w14:paraId="245FF69E" w14:textId="77777777" w:rsidR="00486795" w:rsidRDefault="00486795" w:rsidP="00E964F6">
            <w:pPr>
              <w:pStyle w:val="TableText"/>
            </w:pPr>
            <w:proofErr w:type="spellStart"/>
            <w:r>
              <w:t>Lek</w:t>
            </w:r>
            <w:proofErr w:type="spellEnd"/>
            <w:r>
              <w:t xml:space="preserve"> billion</w:t>
            </w:r>
          </w:p>
        </w:tc>
        <w:tc>
          <w:tcPr>
            <w:tcW w:w="450" w:type="pct"/>
            <w:tcBorders>
              <w:top w:val="nil"/>
            </w:tcBorders>
          </w:tcPr>
          <w:p w14:paraId="1084BE34" w14:textId="77777777" w:rsidR="00486795" w:rsidRDefault="00486795" w:rsidP="00E964F6">
            <w:pPr>
              <w:pStyle w:val="TableText"/>
            </w:pPr>
            <w:r>
              <w:t>412.3</w:t>
            </w:r>
          </w:p>
        </w:tc>
        <w:tc>
          <w:tcPr>
            <w:tcW w:w="450" w:type="pct"/>
            <w:tcBorders>
              <w:top w:val="nil"/>
            </w:tcBorders>
          </w:tcPr>
          <w:p w14:paraId="4F818A36" w14:textId="77777777" w:rsidR="00486795" w:rsidRDefault="00486795" w:rsidP="00E964F6">
            <w:pPr>
              <w:pStyle w:val="TableText"/>
            </w:pPr>
            <w:r>
              <w:t>474.3</w:t>
            </w:r>
          </w:p>
        </w:tc>
        <w:tc>
          <w:tcPr>
            <w:tcW w:w="450" w:type="pct"/>
            <w:tcBorders>
              <w:top w:val="nil"/>
            </w:tcBorders>
          </w:tcPr>
          <w:p w14:paraId="37A011BC" w14:textId="77777777" w:rsidR="00486795" w:rsidRDefault="00486795" w:rsidP="00E964F6">
            <w:pPr>
              <w:pStyle w:val="TableText"/>
            </w:pPr>
            <w:r>
              <w:t>530.9</w:t>
            </w:r>
          </w:p>
        </w:tc>
        <w:tc>
          <w:tcPr>
            <w:tcW w:w="450" w:type="pct"/>
            <w:tcBorders>
              <w:top w:val="nil"/>
            </w:tcBorders>
          </w:tcPr>
          <w:p w14:paraId="12D52427" w14:textId="77777777" w:rsidR="00486795" w:rsidRDefault="00486795" w:rsidP="00E964F6">
            <w:pPr>
              <w:pStyle w:val="TableText"/>
            </w:pPr>
            <w:r>
              <w:t>588.7</w:t>
            </w:r>
          </w:p>
        </w:tc>
        <w:tc>
          <w:tcPr>
            <w:tcW w:w="450" w:type="pct"/>
            <w:tcBorders>
              <w:top w:val="nil"/>
            </w:tcBorders>
          </w:tcPr>
          <w:p w14:paraId="15D8B141" w14:textId="77777777" w:rsidR="00486795" w:rsidRDefault="00486795" w:rsidP="00E964F6">
            <w:pPr>
              <w:pStyle w:val="TableText"/>
            </w:pPr>
            <w:r>
              <w:t>630.0</w:t>
            </w:r>
          </w:p>
        </w:tc>
        <w:tc>
          <w:tcPr>
            <w:tcW w:w="450" w:type="pct"/>
            <w:tcBorders>
              <w:top w:val="nil"/>
            </w:tcBorders>
          </w:tcPr>
          <w:p w14:paraId="3514D039" w14:textId="77777777" w:rsidR="00486795" w:rsidRDefault="00486795" w:rsidP="00E964F6">
            <w:pPr>
              <w:pStyle w:val="TableText"/>
            </w:pPr>
            <w:r>
              <w:t>695.1</w:t>
            </w:r>
          </w:p>
        </w:tc>
        <w:tc>
          <w:tcPr>
            <w:tcW w:w="450" w:type="pct"/>
            <w:tcBorders>
              <w:top w:val="nil"/>
            </w:tcBorders>
          </w:tcPr>
          <w:p w14:paraId="7A84EABA" w14:textId="77777777" w:rsidR="00486795" w:rsidRDefault="00486795" w:rsidP="00E964F6">
            <w:pPr>
              <w:pStyle w:val="TableText"/>
            </w:pPr>
            <w:r>
              <w:t>780.1</w:t>
            </w:r>
          </w:p>
        </w:tc>
      </w:tr>
      <w:tr w:rsidR="00486795" w14:paraId="49819958" w14:textId="77777777" w:rsidTr="00E964F6">
        <w:trPr>
          <w:jc w:val="center"/>
        </w:trPr>
        <w:tc>
          <w:tcPr>
            <w:tcW w:w="1100" w:type="pct"/>
          </w:tcPr>
          <w:p w14:paraId="732FBB31" w14:textId="77777777" w:rsidR="00486795" w:rsidRDefault="00486795" w:rsidP="00E964F6">
            <w:pPr>
              <w:pStyle w:val="TableText"/>
            </w:pPr>
            <w:r>
              <w:t>Gross Domestic Product</w:t>
            </w:r>
          </w:p>
        </w:tc>
        <w:tc>
          <w:tcPr>
            <w:tcW w:w="750" w:type="pct"/>
          </w:tcPr>
          <w:p w14:paraId="092D37A5" w14:textId="77777777" w:rsidR="00486795" w:rsidRDefault="00486795" w:rsidP="00E964F6">
            <w:pPr>
              <w:pStyle w:val="TableText"/>
            </w:pPr>
            <w:r>
              <w:t>$ billion</w:t>
            </w:r>
          </w:p>
        </w:tc>
        <w:tc>
          <w:tcPr>
            <w:tcW w:w="450" w:type="pct"/>
          </w:tcPr>
          <w:p w14:paraId="26BC7DB3" w14:textId="77777777" w:rsidR="00486795" w:rsidRDefault="00486795" w:rsidP="00E964F6">
            <w:pPr>
              <w:pStyle w:val="TableText"/>
            </w:pPr>
            <w:r>
              <w:t>2.7</w:t>
            </w:r>
          </w:p>
        </w:tc>
        <w:tc>
          <w:tcPr>
            <w:tcW w:w="450" w:type="pct"/>
          </w:tcPr>
          <w:p w14:paraId="282EFDD1" w14:textId="77777777" w:rsidR="00486795" w:rsidRDefault="00486795" w:rsidP="00E964F6">
            <w:pPr>
              <w:pStyle w:val="TableText"/>
            </w:pPr>
            <w:r>
              <w:t>3.4</w:t>
            </w:r>
          </w:p>
        </w:tc>
        <w:tc>
          <w:tcPr>
            <w:tcW w:w="450" w:type="pct"/>
          </w:tcPr>
          <w:p w14:paraId="2DCC00D6" w14:textId="77777777" w:rsidR="00486795" w:rsidRDefault="00486795" w:rsidP="00E964F6">
            <w:pPr>
              <w:pStyle w:val="TableText"/>
            </w:pPr>
            <w:r>
              <w:t>3.7</w:t>
            </w:r>
          </w:p>
        </w:tc>
        <w:tc>
          <w:tcPr>
            <w:tcW w:w="450" w:type="pct"/>
          </w:tcPr>
          <w:p w14:paraId="0648D748" w14:textId="77777777" w:rsidR="00486795" w:rsidRDefault="00486795" w:rsidP="00E964F6">
            <w:pPr>
              <w:pStyle w:val="TableText"/>
            </w:pPr>
            <w:r>
              <w:t>4.1</w:t>
            </w:r>
          </w:p>
        </w:tc>
        <w:tc>
          <w:tcPr>
            <w:tcW w:w="450" w:type="pct"/>
          </w:tcPr>
          <w:p w14:paraId="337787D9" w14:textId="77777777" w:rsidR="00486795" w:rsidRDefault="00486795" w:rsidP="00E964F6">
            <w:pPr>
              <w:pStyle w:val="TableText"/>
            </w:pPr>
            <w:r>
              <w:t>4.5</w:t>
            </w:r>
          </w:p>
        </w:tc>
        <w:tc>
          <w:tcPr>
            <w:tcW w:w="450" w:type="pct"/>
          </w:tcPr>
          <w:p w14:paraId="0BA36D7F" w14:textId="77777777" w:rsidR="00486795" w:rsidRDefault="00486795" w:rsidP="00E964F6">
            <w:pPr>
              <w:pStyle w:val="TableText"/>
            </w:pPr>
            <w:r>
              <w:t>5.7</w:t>
            </w:r>
          </w:p>
        </w:tc>
        <w:tc>
          <w:tcPr>
            <w:tcW w:w="450" w:type="pct"/>
          </w:tcPr>
          <w:p w14:paraId="17AC5690" w14:textId="77777777" w:rsidR="00486795" w:rsidRDefault="00486795" w:rsidP="00E964F6">
            <w:pPr>
              <w:pStyle w:val="TableText"/>
            </w:pPr>
            <w:r>
              <w:t>7.6</w:t>
            </w:r>
          </w:p>
        </w:tc>
      </w:tr>
      <w:tr w:rsidR="00486795" w14:paraId="420BA74B" w14:textId="77777777" w:rsidTr="00E964F6">
        <w:trPr>
          <w:jc w:val="center"/>
        </w:trPr>
        <w:tc>
          <w:tcPr>
            <w:tcW w:w="1100" w:type="pct"/>
          </w:tcPr>
          <w:p w14:paraId="0BE4A64E" w14:textId="77777777" w:rsidR="00486795" w:rsidRDefault="00486795" w:rsidP="00E964F6">
            <w:pPr>
              <w:pStyle w:val="TableText"/>
            </w:pPr>
            <w:r>
              <w:t>Real GDP growth</w:t>
            </w:r>
          </w:p>
        </w:tc>
        <w:tc>
          <w:tcPr>
            <w:tcW w:w="750" w:type="pct"/>
          </w:tcPr>
          <w:p w14:paraId="5DCCAFF0" w14:textId="77777777" w:rsidR="00486795" w:rsidRDefault="00486795" w:rsidP="00E964F6">
            <w:pPr>
              <w:pStyle w:val="TableText"/>
            </w:pPr>
            <w:r>
              <w:t>%</w:t>
            </w:r>
          </w:p>
        </w:tc>
        <w:tc>
          <w:tcPr>
            <w:tcW w:w="450" w:type="pct"/>
          </w:tcPr>
          <w:p w14:paraId="10866D79" w14:textId="77777777" w:rsidR="00486795" w:rsidRDefault="00486795" w:rsidP="00E964F6">
            <w:pPr>
              <w:pStyle w:val="TableText"/>
            </w:pPr>
            <w:r>
              <w:t>12.7</w:t>
            </w:r>
          </w:p>
        </w:tc>
        <w:tc>
          <w:tcPr>
            <w:tcW w:w="450" w:type="pct"/>
          </w:tcPr>
          <w:p w14:paraId="102261EC" w14:textId="77777777" w:rsidR="00486795" w:rsidRDefault="00486795" w:rsidP="00E964F6">
            <w:pPr>
              <w:pStyle w:val="TableText"/>
            </w:pPr>
            <w:r>
              <w:t>10.1</w:t>
            </w:r>
          </w:p>
        </w:tc>
        <w:tc>
          <w:tcPr>
            <w:tcW w:w="450" w:type="pct"/>
          </w:tcPr>
          <w:p w14:paraId="12135F99" w14:textId="77777777" w:rsidR="00486795" w:rsidRDefault="00486795" w:rsidP="00E964F6">
            <w:pPr>
              <w:pStyle w:val="TableText"/>
            </w:pPr>
            <w:r>
              <w:t>7.3</w:t>
            </w:r>
          </w:p>
        </w:tc>
        <w:tc>
          <w:tcPr>
            <w:tcW w:w="450" w:type="pct"/>
          </w:tcPr>
          <w:p w14:paraId="0C47214A" w14:textId="77777777" w:rsidR="00486795" w:rsidRDefault="00486795" w:rsidP="00E964F6">
            <w:pPr>
              <w:pStyle w:val="TableText"/>
            </w:pPr>
            <w:r>
              <w:t>7.2</w:t>
            </w:r>
          </w:p>
        </w:tc>
        <w:tc>
          <w:tcPr>
            <w:tcW w:w="450" w:type="pct"/>
          </w:tcPr>
          <w:p w14:paraId="1FD4C9E9" w14:textId="77777777" w:rsidR="00486795" w:rsidRDefault="00486795" w:rsidP="00E964F6">
            <w:pPr>
              <w:pStyle w:val="TableText"/>
            </w:pPr>
            <w:r>
              <w:t>3.4</w:t>
            </w:r>
          </w:p>
        </w:tc>
        <w:tc>
          <w:tcPr>
            <w:tcW w:w="450" w:type="pct"/>
          </w:tcPr>
          <w:p w14:paraId="4152A1B2" w14:textId="77777777" w:rsidR="00486795" w:rsidRDefault="00486795" w:rsidP="00E964F6">
            <w:pPr>
              <w:pStyle w:val="TableText"/>
            </w:pPr>
            <w:r>
              <w:t>6.0</w:t>
            </w:r>
          </w:p>
        </w:tc>
        <w:tc>
          <w:tcPr>
            <w:tcW w:w="450" w:type="pct"/>
          </w:tcPr>
          <w:p w14:paraId="1A121065" w14:textId="77777777" w:rsidR="00486795" w:rsidRDefault="00486795" w:rsidP="00E964F6">
            <w:pPr>
              <w:pStyle w:val="TableText"/>
            </w:pPr>
            <w:r>
              <w:t>6.0</w:t>
            </w:r>
          </w:p>
        </w:tc>
      </w:tr>
      <w:tr w:rsidR="00486795" w14:paraId="2933A8D1" w14:textId="77777777" w:rsidTr="00E964F6">
        <w:trPr>
          <w:jc w:val="center"/>
        </w:trPr>
        <w:tc>
          <w:tcPr>
            <w:tcW w:w="1100" w:type="pct"/>
          </w:tcPr>
          <w:p w14:paraId="541DAF5A" w14:textId="77777777" w:rsidR="00486795" w:rsidRDefault="00486795" w:rsidP="00E964F6">
            <w:pPr>
              <w:pStyle w:val="TableText"/>
            </w:pPr>
            <w:r>
              <w:t>GDP per capita</w:t>
            </w:r>
          </w:p>
        </w:tc>
        <w:tc>
          <w:tcPr>
            <w:tcW w:w="750" w:type="pct"/>
          </w:tcPr>
          <w:p w14:paraId="11DCF800" w14:textId="77777777" w:rsidR="00486795" w:rsidRDefault="00486795" w:rsidP="00E964F6">
            <w:pPr>
              <w:pStyle w:val="TableText"/>
            </w:pPr>
            <w:proofErr w:type="spellStart"/>
            <w:r>
              <w:t>Lek</w:t>
            </w:r>
            <w:proofErr w:type="spellEnd"/>
            <w:r>
              <w:t xml:space="preserve"> thousand</w:t>
            </w:r>
          </w:p>
        </w:tc>
        <w:tc>
          <w:tcPr>
            <w:tcW w:w="450" w:type="pct"/>
          </w:tcPr>
          <w:p w14:paraId="6522C57B" w14:textId="77777777" w:rsidR="00486795" w:rsidRDefault="00486795" w:rsidP="00E964F6">
            <w:pPr>
              <w:pStyle w:val="TableText"/>
            </w:pPr>
            <w:r>
              <w:t>122.9</w:t>
            </w:r>
          </w:p>
        </w:tc>
        <w:tc>
          <w:tcPr>
            <w:tcW w:w="450" w:type="pct"/>
          </w:tcPr>
          <w:p w14:paraId="01FEE358" w14:textId="77777777" w:rsidR="00486795" w:rsidRDefault="00486795" w:rsidP="00E964F6">
            <w:pPr>
              <w:pStyle w:val="TableText"/>
            </w:pPr>
            <w:r>
              <w:t>140.6</w:t>
            </w:r>
          </w:p>
        </w:tc>
        <w:tc>
          <w:tcPr>
            <w:tcW w:w="450" w:type="pct"/>
          </w:tcPr>
          <w:p w14:paraId="2A644A69" w14:textId="77777777" w:rsidR="00486795" w:rsidRDefault="00486795" w:rsidP="00E964F6">
            <w:pPr>
              <w:pStyle w:val="TableText"/>
            </w:pPr>
            <w:r>
              <w:t>164.3</w:t>
            </w:r>
          </w:p>
        </w:tc>
        <w:tc>
          <w:tcPr>
            <w:tcW w:w="450" w:type="pct"/>
          </w:tcPr>
          <w:p w14:paraId="648774C3" w14:textId="77777777" w:rsidR="00486795" w:rsidRDefault="00486795" w:rsidP="00E964F6">
            <w:pPr>
              <w:pStyle w:val="TableText"/>
            </w:pPr>
            <w:r>
              <w:t>191.4</w:t>
            </w:r>
          </w:p>
        </w:tc>
        <w:tc>
          <w:tcPr>
            <w:tcW w:w="450" w:type="pct"/>
          </w:tcPr>
          <w:p w14:paraId="3B974CC9" w14:textId="77777777" w:rsidR="00486795" w:rsidRDefault="00486795" w:rsidP="00E964F6">
            <w:pPr>
              <w:pStyle w:val="TableText"/>
            </w:pPr>
            <w:r>
              <w:t>203.4</w:t>
            </w:r>
          </w:p>
        </w:tc>
        <w:tc>
          <w:tcPr>
            <w:tcW w:w="450" w:type="pct"/>
          </w:tcPr>
          <w:p w14:paraId="36697CBC" w14:textId="77777777" w:rsidR="00486795" w:rsidRDefault="00486795" w:rsidP="00E964F6">
            <w:pPr>
              <w:pStyle w:val="TableText"/>
            </w:pPr>
            <w:r>
              <w:t>223.9</w:t>
            </w:r>
          </w:p>
        </w:tc>
        <w:tc>
          <w:tcPr>
            <w:tcW w:w="450" w:type="pct"/>
          </w:tcPr>
          <w:p w14:paraId="07E2F73E" w14:textId="77777777" w:rsidR="00486795" w:rsidRDefault="00486795" w:rsidP="00E964F6">
            <w:pPr>
              <w:pStyle w:val="TableText"/>
            </w:pPr>
            <w:r>
              <w:t>249.9</w:t>
            </w:r>
          </w:p>
        </w:tc>
      </w:tr>
      <w:tr w:rsidR="00486795" w14:paraId="20221283" w14:textId="77777777" w:rsidTr="00E964F6">
        <w:trPr>
          <w:jc w:val="center"/>
        </w:trPr>
        <w:tc>
          <w:tcPr>
            <w:tcW w:w="1100" w:type="pct"/>
            <w:tcBorders>
              <w:bottom w:val="single" w:sz="4" w:space="0" w:color="auto"/>
            </w:tcBorders>
          </w:tcPr>
          <w:p w14:paraId="3DE0229B" w14:textId="77777777" w:rsidR="00486795" w:rsidRDefault="00486795" w:rsidP="00E964F6">
            <w:pPr>
              <w:pStyle w:val="TableText"/>
            </w:pPr>
            <w:r>
              <w:t>GDP per capita</w:t>
            </w:r>
          </w:p>
        </w:tc>
        <w:tc>
          <w:tcPr>
            <w:tcW w:w="750" w:type="pct"/>
            <w:tcBorders>
              <w:bottom w:val="single" w:sz="4" w:space="0" w:color="auto"/>
            </w:tcBorders>
          </w:tcPr>
          <w:p w14:paraId="5A9C757D" w14:textId="77777777" w:rsidR="00486795" w:rsidRDefault="00486795" w:rsidP="00E964F6">
            <w:pPr>
              <w:pStyle w:val="TableText"/>
            </w:pPr>
            <w:r>
              <w:t>$</w:t>
            </w:r>
          </w:p>
        </w:tc>
        <w:tc>
          <w:tcPr>
            <w:tcW w:w="450" w:type="pct"/>
            <w:tcBorders>
              <w:bottom w:val="single" w:sz="4" w:space="0" w:color="auto"/>
            </w:tcBorders>
          </w:tcPr>
          <w:p w14:paraId="3F542CCE" w14:textId="77777777" w:rsidR="00486795" w:rsidRDefault="00486795" w:rsidP="00E964F6">
            <w:pPr>
              <w:pStyle w:val="TableText"/>
            </w:pPr>
            <w:r>
              <w:t>816</w:t>
            </w:r>
          </w:p>
        </w:tc>
        <w:tc>
          <w:tcPr>
            <w:tcW w:w="450" w:type="pct"/>
            <w:tcBorders>
              <w:bottom w:val="single" w:sz="4" w:space="0" w:color="auto"/>
            </w:tcBorders>
          </w:tcPr>
          <w:p w14:paraId="1B479FFF" w14:textId="77777777" w:rsidR="00486795" w:rsidRDefault="00486795" w:rsidP="00E964F6">
            <w:pPr>
              <w:pStyle w:val="TableText"/>
            </w:pPr>
            <w:r>
              <w:t>1021</w:t>
            </w:r>
          </w:p>
        </w:tc>
        <w:tc>
          <w:tcPr>
            <w:tcW w:w="450" w:type="pct"/>
            <w:tcBorders>
              <w:bottom w:val="single" w:sz="4" w:space="0" w:color="auto"/>
            </w:tcBorders>
          </w:tcPr>
          <w:p w14:paraId="25D1C637" w14:textId="77777777" w:rsidR="00486795" w:rsidRDefault="00486795" w:rsidP="00E964F6">
            <w:pPr>
              <w:pStyle w:val="TableText"/>
            </w:pPr>
            <w:r>
              <w:t>1143</w:t>
            </w:r>
          </w:p>
        </w:tc>
        <w:tc>
          <w:tcPr>
            <w:tcW w:w="450" w:type="pct"/>
            <w:tcBorders>
              <w:bottom w:val="single" w:sz="4" w:space="0" w:color="auto"/>
            </w:tcBorders>
          </w:tcPr>
          <w:p w14:paraId="7BADF7E1" w14:textId="77777777" w:rsidR="00486795" w:rsidRDefault="00486795" w:rsidP="00E964F6">
            <w:pPr>
              <w:pStyle w:val="TableText"/>
            </w:pPr>
            <w:r>
              <w:t>1334</w:t>
            </w:r>
          </w:p>
        </w:tc>
        <w:tc>
          <w:tcPr>
            <w:tcW w:w="450" w:type="pct"/>
            <w:tcBorders>
              <w:bottom w:val="single" w:sz="4" w:space="0" w:color="auto"/>
            </w:tcBorders>
          </w:tcPr>
          <w:p w14:paraId="5C0B7304" w14:textId="77777777" w:rsidR="00486795" w:rsidRDefault="00486795" w:rsidP="00E964F6">
            <w:pPr>
              <w:pStyle w:val="TableText"/>
            </w:pPr>
            <w:r>
              <w:t>1450</w:t>
            </w:r>
          </w:p>
        </w:tc>
        <w:tc>
          <w:tcPr>
            <w:tcW w:w="450" w:type="pct"/>
            <w:tcBorders>
              <w:bottom w:val="single" w:sz="4" w:space="0" w:color="auto"/>
            </w:tcBorders>
          </w:tcPr>
          <w:p w14:paraId="3E483918" w14:textId="77777777" w:rsidR="00486795" w:rsidRDefault="00486795" w:rsidP="00E964F6">
            <w:pPr>
              <w:pStyle w:val="TableText"/>
            </w:pPr>
            <w:r>
              <w:t>1837</w:t>
            </w:r>
          </w:p>
        </w:tc>
        <w:tc>
          <w:tcPr>
            <w:tcW w:w="450" w:type="pct"/>
            <w:tcBorders>
              <w:bottom w:val="single" w:sz="4" w:space="0" w:color="auto"/>
            </w:tcBorders>
          </w:tcPr>
          <w:p w14:paraId="73C322FC" w14:textId="77777777" w:rsidR="00486795" w:rsidRDefault="00486795" w:rsidP="00E964F6">
            <w:pPr>
              <w:pStyle w:val="TableText"/>
            </w:pPr>
            <w:r>
              <w:t>2431</w:t>
            </w:r>
          </w:p>
        </w:tc>
      </w:tr>
      <w:tr w:rsidR="00486795" w14:paraId="02A46425" w14:textId="77777777" w:rsidTr="00E964F6">
        <w:trPr>
          <w:jc w:val="center"/>
        </w:trPr>
        <w:tc>
          <w:tcPr>
            <w:tcW w:w="1100" w:type="pct"/>
            <w:tcBorders>
              <w:top w:val="single" w:sz="4" w:space="0" w:color="auto"/>
              <w:bottom w:val="nil"/>
            </w:tcBorders>
          </w:tcPr>
          <w:p w14:paraId="562CF3E5" w14:textId="77777777" w:rsidR="00486795" w:rsidRDefault="00486795" w:rsidP="00E964F6">
            <w:pPr>
              <w:pStyle w:val="TableText"/>
            </w:pPr>
            <w:r>
              <w:t>Public finance</w:t>
            </w:r>
          </w:p>
        </w:tc>
        <w:tc>
          <w:tcPr>
            <w:tcW w:w="750" w:type="pct"/>
            <w:tcBorders>
              <w:top w:val="single" w:sz="4" w:space="0" w:color="auto"/>
              <w:bottom w:val="nil"/>
            </w:tcBorders>
          </w:tcPr>
          <w:p w14:paraId="15957CE6" w14:textId="77777777" w:rsidR="00486795" w:rsidRDefault="00486795" w:rsidP="00E964F6">
            <w:pPr>
              <w:pStyle w:val="TableText"/>
            </w:pPr>
          </w:p>
        </w:tc>
        <w:tc>
          <w:tcPr>
            <w:tcW w:w="450" w:type="pct"/>
            <w:tcBorders>
              <w:top w:val="single" w:sz="4" w:space="0" w:color="auto"/>
              <w:bottom w:val="nil"/>
            </w:tcBorders>
          </w:tcPr>
          <w:p w14:paraId="22E53BD4" w14:textId="77777777" w:rsidR="00486795" w:rsidRDefault="00486795" w:rsidP="00E964F6">
            <w:pPr>
              <w:pStyle w:val="TableText"/>
            </w:pPr>
          </w:p>
        </w:tc>
        <w:tc>
          <w:tcPr>
            <w:tcW w:w="450" w:type="pct"/>
            <w:tcBorders>
              <w:top w:val="single" w:sz="4" w:space="0" w:color="auto"/>
              <w:bottom w:val="nil"/>
            </w:tcBorders>
          </w:tcPr>
          <w:p w14:paraId="4F34F74D" w14:textId="77777777" w:rsidR="00486795" w:rsidRDefault="00486795" w:rsidP="00E964F6">
            <w:pPr>
              <w:pStyle w:val="TableText"/>
            </w:pPr>
          </w:p>
        </w:tc>
        <w:tc>
          <w:tcPr>
            <w:tcW w:w="450" w:type="pct"/>
            <w:tcBorders>
              <w:top w:val="single" w:sz="4" w:space="0" w:color="auto"/>
              <w:bottom w:val="nil"/>
            </w:tcBorders>
          </w:tcPr>
          <w:p w14:paraId="3E002328" w14:textId="77777777" w:rsidR="00486795" w:rsidRDefault="00486795" w:rsidP="00E964F6">
            <w:pPr>
              <w:pStyle w:val="TableText"/>
            </w:pPr>
          </w:p>
        </w:tc>
        <w:tc>
          <w:tcPr>
            <w:tcW w:w="450" w:type="pct"/>
            <w:tcBorders>
              <w:top w:val="single" w:sz="4" w:space="0" w:color="auto"/>
              <w:bottom w:val="nil"/>
            </w:tcBorders>
          </w:tcPr>
          <w:p w14:paraId="26519BBC" w14:textId="77777777" w:rsidR="00486795" w:rsidRDefault="00486795" w:rsidP="00E964F6">
            <w:pPr>
              <w:pStyle w:val="TableText"/>
            </w:pPr>
          </w:p>
        </w:tc>
        <w:tc>
          <w:tcPr>
            <w:tcW w:w="450" w:type="pct"/>
            <w:tcBorders>
              <w:top w:val="single" w:sz="4" w:space="0" w:color="auto"/>
              <w:bottom w:val="nil"/>
            </w:tcBorders>
          </w:tcPr>
          <w:p w14:paraId="23D04BD9" w14:textId="77777777" w:rsidR="00486795" w:rsidRDefault="00486795" w:rsidP="00E964F6">
            <w:pPr>
              <w:pStyle w:val="TableText"/>
            </w:pPr>
          </w:p>
        </w:tc>
        <w:tc>
          <w:tcPr>
            <w:tcW w:w="450" w:type="pct"/>
            <w:tcBorders>
              <w:top w:val="single" w:sz="4" w:space="0" w:color="auto"/>
              <w:bottom w:val="nil"/>
            </w:tcBorders>
          </w:tcPr>
          <w:p w14:paraId="08FA816D" w14:textId="77777777" w:rsidR="00486795" w:rsidRDefault="00486795" w:rsidP="00E964F6">
            <w:pPr>
              <w:pStyle w:val="TableText"/>
            </w:pPr>
          </w:p>
        </w:tc>
        <w:tc>
          <w:tcPr>
            <w:tcW w:w="450" w:type="pct"/>
            <w:tcBorders>
              <w:top w:val="single" w:sz="4" w:space="0" w:color="auto"/>
              <w:bottom w:val="nil"/>
            </w:tcBorders>
          </w:tcPr>
          <w:p w14:paraId="0D43F1EA" w14:textId="77777777" w:rsidR="00486795" w:rsidRDefault="00486795" w:rsidP="00E964F6">
            <w:pPr>
              <w:pStyle w:val="TableText"/>
            </w:pPr>
          </w:p>
        </w:tc>
      </w:tr>
      <w:tr w:rsidR="00486795" w14:paraId="6767A9F2" w14:textId="77777777" w:rsidTr="00E964F6">
        <w:trPr>
          <w:jc w:val="center"/>
        </w:trPr>
        <w:tc>
          <w:tcPr>
            <w:tcW w:w="1100" w:type="pct"/>
            <w:tcBorders>
              <w:top w:val="nil"/>
            </w:tcBorders>
          </w:tcPr>
          <w:p w14:paraId="77A29383" w14:textId="77777777" w:rsidR="00486795" w:rsidRDefault="00486795" w:rsidP="00E964F6">
            <w:pPr>
              <w:pStyle w:val="TableText"/>
            </w:pPr>
            <w:r>
              <w:t>Total revenue</w:t>
            </w:r>
          </w:p>
        </w:tc>
        <w:tc>
          <w:tcPr>
            <w:tcW w:w="750" w:type="pct"/>
            <w:tcBorders>
              <w:top w:val="nil"/>
            </w:tcBorders>
          </w:tcPr>
          <w:p w14:paraId="33021203" w14:textId="77777777" w:rsidR="00486795" w:rsidRDefault="00486795" w:rsidP="00E964F6">
            <w:pPr>
              <w:pStyle w:val="TableText"/>
            </w:pPr>
            <w:proofErr w:type="spellStart"/>
            <w:r>
              <w:t>Lek</w:t>
            </w:r>
            <w:proofErr w:type="spellEnd"/>
            <w:r>
              <w:t xml:space="preserve"> billion</w:t>
            </w:r>
          </w:p>
        </w:tc>
        <w:tc>
          <w:tcPr>
            <w:tcW w:w="450" w:type="pct"/>
            <w:tcBorders>
              <w:top w:val="nil"/>
            </w:tcBorders>
          </w:tcPr>
          <w:p w14:paraId="7179CC96" w14:textId="77777777" w:rsidR="00486795" w:rsidRDefault="00486795" w:rsidP="00E964F6">
            <w:pPr>
              <w:pStyle w:val="TableText"/>
            </w:pPr>
            <w:r>
              <w:t>102.5</w:t>
            </w:r>
          </w:p>
        </w:tc>
        <w:tc>
          <w:tcPr>
            <w:tcW w:w="450" w:type="pct"/>
            <w:tcBorders>
              <w:top w:val="nil"/>
            </w:tcBorders>
          </w:tcPr>
          <w:p w14:paraId="68AA8BFA" w14:textId="77777777" w:rsidR="00486795" w:rsidRDefault="00486795" w:rsidP="00E964F6">
            <w:pPr>
              <w:pStyle w:val="TableText"/>
            </w:pPr>
            <w:r>
              <w:t>123.2</w:t>
            </w:r>
          </w:p>
        </w:tc>
        <w:tc>
          <w:tcPr>
            <w:tcW w:w="450" w:type="pct"/>
            <w:tcBorders>
              <w:top w:val="nil"/>
            </w:tcBorders>
          </w:tcPr>
          <w:p w14:paraId="71C8EED4" w14:textId="77777777" w:rsidR="00486795" w:rsidRDefault="00486795" w:rsidP="00E964F6">
            <w:pPr>
              <w:pStyle w:val="TableText"/>
            </w:pPr>
            <w:r>
              <w:t>130.6</w:t>
            </w:r>
          </w:p>
        </w:tc>
        <w:tc>
          <w:tcPr>
            <w:tcW w:w="450" w:type="pct"/>
            <w:tcBorders>
              <w:top w:val="nil"/>
            </w:tcBorders>
          </w:tcPr>
          <w:p w14:paraId="447F2244" w14:textId="77777777" w:rsidR="00486795" w:rsidRDefault="00486795" w:rsidP="00E964F6">
            <w:pPr>
              <w:pStyle w:val="TableText"/>
            </w:pPr>
            <w:r>
              <w:t>145.6</w:t>
            </w:r>
          </w:p>
        </w:tc>
        <w:tc>
          <w:tcPr>
            <w:tcW w:w="450" w:type="pct"/>
            <w:tcBorders>
              <w:top w:val="nil"/>
            </w:tcBorders>
          </w:tcPr>
          <w:p w14:paraId="5C52703B" w14:textId="77777777" w:rsidR="00486795" w:rsidRDefault="00486795" w:rsidP="00E964F6">
            <w:pPr>
              <w:pStyle w:val="TableText"/>
            </w:pPr>
            <w:r>
              <w:t>154.6</w:t>
            </w:r>
          </w:p>
        </w:tc>
        <w:tc>
          <w:tcPr>
            <w:tcW w:w="450" w:type="pct"/>
            <w:tcBorders>
              <w:top w:val="nil"/>
            </w:tcBorders>
          </w:tcPr>
          <w:p w14:paraId="61A865FE" w14:textId="77777777" w:rsidR="00486795" w:rsidRDefault="00486795" w:rsidP="00E964F6">
            <w:pPr>
              <w:pStyle w:val="TableText"/>
            </w:pPr>
            <w:r>
              <w:t>167.2</w:t>
            </w:r>
          </w:p>
        </w:tc>
        <w:tc>
          <w:tcPr>
            <w:tcW w:w="450" w:type="pct"/>
            <w:tcBorders>
              <w:top w:val="nil"/>
            </w:tcBorders>
          </w:tcPr>
          <w:p w14:paraId="145DA3F5" w14:textId="77777777" w:rsidR="00486795" w:rsidRDefault="00486795" w:rsidP="00E964F6">
            <w:pPr>
              <w:pStyle w:val="TableText"/>
            </w:pPr>
            <w:r>
              <w:t>184.4</w:t>
            </w:r>
          </w:p>
        </w:tc>
      </w:tr>
      <w:tr w:rsidR="00486795" w14:paraId="401E90FB" w14:textId="77777777" w:rsidTr="00E964F6">
        <w:trPr>
          <w:jc w:val="center"/>
        </w:trPr>
        <w:tc>
          <w:tcPr>
            <w:tcW w:w="1100" w:type="pct"/>
          </w:tcPr>
          <w:p w14:paraId="0EEF8EBF" w14:textId="77777777" w:rsidR="00486795" w:rsidRDefault="00486795" w:rsidP="00E964F6">
            <w:pPr>
              <w:pStyle w:val="TableText"/>
            </w:pPr>
            <w:r>
              <w:t>Total expenditure</w:t>
            </w:r>
          </w:p>
        </w:tc>
        <w:tc>
          <w:tcPr>
            <w:tcW w:w="750" w:type="pct"/>
          </w:tcPr>
          <w:p w14:paraId="1743E319" w14:textId="77777777" w:rsidR="00486795" w:rsidRDefault="00486795" w:rsidP="00E964F6">
            <w:pPr>
              <w:pStyle w:val="TableText"/>
            </w:pPr>
            <w:proofErr w:type="spellStart"/>
            <w:r>
              <w:t>Lek</w:t>
            </w:r>
            <w:proofErr w:type="spellEnd"/>
            <w:r>
              <w:t xml:space="preserve"> billion</w:t>
            </w:r>
          </w:p>
        </w:tc>
        <w:tc>
          <w:tcPr>
            <w:tcW w:w="450" w:type="pct"/>
          </w:tcPr>
          <w:p w14:paraId="226BE1EB" w14:textId="77777777" w:rsidR="00486795" w:rsidRDefault="00486795" w:rsidP="00E964F6">
            <w:pPr>
              <w:pStyle w:val="TableText"/>
            </w:pPr>
            <w:r>
              <w:t>141.6</w:t>
            </w:r>
          </w:p>
        </w:tc>
        <w:tc>
          <w:tcPr>
            <w:tcW w:w="450" w:type="pct"/>
          </w:tcPr>
          <w:p w14:paraId="1FC6B1D1" w14:textId="77777777" w:rsidR="00486795" w:rsidRDefault="00486795" w:rsidP="00E964F6">
            <w:pPr>
              <w:pStyle w:val="TableText"/>
            </w:pPr>
            <w:r>
              <w:t>165.7</w:t>
            </w:r>
          </w:p>
        </w:tc>
        <w:tc>
          <w:tcPr>
            <w:tcW w:w="450" w:type="pct"/>
          </w:tcPr>
          <w:p w14:paraId="24A0504E" w14:textId="77777777" w:rsidR="00486795" w:rsidRDefault="00486795" w:rsidP="00E964F6">
            <w:pPr>
              <w:pStyle w:val="TableText"/>
            </w:pPr>
            <w:r>
              <w:t>170.6</w:t>
            </w:r>
          </w:p>
        </w:tc>
        <w:tc>
          <w:tcPr>
            <w:tcW w:w="450" w:type="pct"/>
          </w:tcPr>
          <w:p w14:paraId="35358EB6" w14:textId="77777777" w:rsidR="00486795" w:rsidRDefault="00486795" w:rsidP="00E964F6">
            <w:pPr>
              <w:pStyle w:val="TableText"/>
            </w:pPr>
            <w:r>
              <w:t>186.1</w:t>
            </w:r>
          </w:p>
        </w:tc>
        <w:tc>
          <w:tcPr>
            <w:tcW w:w="450" w:type="pct"/>
          </w:tcPr>
          <w:p w14:paraId="62B0B5CE" w14:textId="77777777" w:rsidR="00486795" w:rsidRDefault="00486795" w:rsidP="00E964F6">
            <w:pPr>
              <w:pStyle w:val="TableText"/>
            </w:pPr>
            <w:r>
              <w:t>192.5</w:t>
            </w:r>
          </w:p>
        </w:tc>
        <w:tc>
          <w:tcPr>
            <w:tcW w:w="450" w:type="pct"/>
          </w:tcPr>
          <w:p w14:paraId="303B89F0" w14:textId="77777777" w:rsidR="00486795" w:rsidRDefault="00486795" w:rsidP="00E964F6">
            <w:pPr>
              <w:pStyle w:val="TableText"/>
            </w:pPr>
            <w:r>
              <w:t>201.2</w:t>
            </w:r>
          </w:p>
        </w:tc>
        <w:tc>
          <w:tcPr>
            <w:tcW w:w="450" w:type="pct"/>
          </w:tcPr>
          <w:p w14:paraId="77277774" w14:textId="77777777" w:rsidR="00486795" w:rsidRDefault="00486795" w:rsidP="00E964F6">
            <w:pPr>
              <w:pStyle w:val="TableText"/>
            </w:pPr>
            <w:r>
              <w:t>222.4</w:t>
            </w:r>
          </w:p>
        </w:tc>
      </w:tr>
      <w:tr w:rsidR="00486795" w14:paraId="14D43A7A" w14:textId="77777777" w:rsidTr="00E964F6">
        <w:trPr>
          <w:jc w:val="center"/>
        </w:trPr>
        <w:tc>
          <w:tcPr>
            <w:tcW w:w="1100" w:type="pct"/>
          </w:tcPr>
          <w:p w14:paraId="6FACC020" w14:textId="77777777" w:rsidR="00486795" w:rsidRDefault="00486795" w:rsidP="00E964F6">
            <w:pPr>
              <w:pStyle w:val="TableText"/>
            </w:pPr>
            <w:r>
              <w:t>Overall deficit</w:t>
            </w:r>
          </w:p>
        </w:tc>
        <w:tc>
          <w:tcPr>
            <w:tcW w:w="750" w:type="pct"/>
          </w:tcPr>
          <w:p w14:paraId="51538EC0" w14:textId="77777777" w:rsidR="00486795" w:rsidRDefault="00486795" w:rsidP="00E964F6">
            <w:pPr>
              <w:pStyle w:val="TableText"/>
            </w:pPr>
            <w:proofErr w:type="spellStart"/>
            <w:r>
              <w:t>Lek</w:t>
            </w:r>
            <w:proofErr w:type="spellEnd"/>
            <w:r>
              <w:t xml:space="preserve"> billion</w:t>
            </w:r>
          </w:p>
        </w:tc>
        <w:tc>
          <w:tcPr>
            <w:tcW w:w="450" w:type="pct"/>
          </w:tcPr>
          <w:p w14:paraId="0D9830CC" w14:textId="77777777" w:rsidR="00486795" w:rsidRDefault="00486795" w:rsidP="00E964F6">
            <w:pPr>
              <w:pStyle w:val="TableText"/>
            </w:pPr>
            <w:r>
              <w:t>-39.1</w:t>
            </w:r>
          </w:p>
        </w:tc>
        <w:tc>
          <w:tcPr>
            <w:tcW w:w="450" w:type="pct"/>
          </w:tcPr>
          <w:p w14:paraId="2294BBCE" w14:textId="77777777" w:rsidR="00486795" w:rsidRDefault="00486795" w:rsidP="00E964F6">
            <w:pPr>
              <w:pStyle w:val="TableText"/>
            </w:pPr>
            <w:r>
              <w:t>-42.5</w:t>
            </w:r>
          </w:p>
        </w:tc>
        <w:tc>
          <w:tcPr>
            <w:tcW w:w="450" w:type="pct"/>
          </w:tcPr>
          <w:p w14:paraId="3EF5A26E" w14:textId="77777777" w:rsidR="00486795" w:rsidRDefault="00486795" w:rsidP="00E964F6">
            <w:pPr>
              <w:pStyle w:val="TableText"/>
            </w:pPr>
            <w:r>
              <w:t>-40.0</w:t>
            </w:r>
          </w:p>
        </w:tc>
        <w:tc>
          <w:tcPr>
            <w:tcW w:w="450" w:type="pct"/>
          </w:tcPr>
          <w:p w14:paraId="70653292" w14:textId="77777777" w:rsidR="00486795" w:rsidRDefault="00486795" w:rsidP="00E964F6">
            <w:pPr>
              <w:pStyle w:val="TableText"/>
            </w:pPr>
            <w:r>
              <w:t>-40.4</w:t>
            </w:r>
          </w:p>
        </w:tc>
        <w:tc>
          <w:tcPr>
            <w:tcW w:w="450" w:type="pct"/>
          </w:tcPr>
          <w:p w14:paraId="7551F85B" w14:textId="77777777" w:rsidR="00486795" w:rsidRDefault="00486795" w:rsidP="00E964F6">
            <w:pPr>
              <w:pStyle w:val="TableText"/>
            </w:pPr>
            <w:r>
              <w:t>-37.9</w:t>
            </w:r>
          </w:p>
        </w:tc>
        <w:tc>
          <w:tcPr>
            <w:tcW w:w="450" w:type="pct"/>
          </w:tcPr>
          <w:p w14:paraId="64B1BBDC" w14:textId="77777777" w:rsidR="00486795" w:rsidRDefault="00486795" w:rsidP="00E964F6">
            <w:pPr>
              <w:pStyle w:val="TableText"/>
            </w:pPr>
            <w:r>
              <w:t>-33.9</w:t>
            </w:r>
          </w:p>
        </w:tc>
        <w:tc>
          <w:tcPr>
            <w:tcW w:w="450" w:type="pct"/>
          </w:tcPr>
          <w:p w14:paraId="1180CA0E" w14:textId="77777777" w:rsidR="00486795" w:rsidRDefault="00486795" w:rsidP="00E964F6">
            <w:pPr>
              <w:pStyle w:val="TableText"/>
            </w:pPr>
            <w:r>
              <w:t>-38.1</w:t>
            </w:r>
          </w:p>
        </w:tc>
      </w:tr>
      <w:tr w:rsidR="00486795" w14:paraId="2C87D13B" w14:textId="77777777" w:rsidTr="00E964F6">
        <w:trPr>
          <w:jc w:val="center"/>
        </w:trPr>
        <w:tc>
          <w:tcPr>
            <w:tcW w:w="1100" w:type="pct"/>
          </w:tcPr>
          <w:p w14:paraId="2CD4276C" w14:textId="77777777" w:rsidR="00486795" w:rsidRDefault="00486795" w:rsidP="00E964F6">
            <w:pPr>
              <w:pStyle w:val="TableText"/>
            </w:pPr>
            <w:r>
              <w:t>Total revenue</w:t>
            </w:r>
          </w:p>
        </w:tc>
        <w:tc>
          <w:tcPr>
            <w:tcW w:w="750" w:type="pct"/>
          </w:tcPr>
          <w:p w14:paraId="61F9308D" w14:textId="77777777" w:rsidR="00486795" w:rsidRDefault="00486795" w:rsidP="00E964F6">
            <w:pPr>
              <w:pStyle w:val="TableText"/>
            </w:pPr>
            <w:r>
              <w:t>% GDP</w:t>
            </w:r>
          </w:p>
        </w:tc>
        <w:tc>
          <w:tcPr>
            <w:tcW w:w="450" w:type="pct"/>
          </w:tcPr>
          <w:p w14:paraId="2FC874A7" w14:textId="77777777" w:rsidR="00486795" w:rsidRDefault="00486795" w:rsidP="00E964F6">
            <w:pPr>
              <w:pStyle w:val="TableText"/>
            </w:pPr>
            <w:r>
              <w:t>24.9</w:t>
            </w:r>
          </w:p>
        </w:tc>
        <w:tc>
          <w:tcPr>
            <w:tcW w:w="450" w:type="pct"/>
          </w:tcPr>
          <w:p w14:paraId="383005EE" w14:textId="77777777" w:rsidR="00486795" w:rsidRDefault="00486795" w:rsidP="00E964F6">
            <w:pPr>
              <w:pStyle w:val="TableText"/>
            </w:pPr>
            <w:r>
              <w:t>26.0</w:t>
            </w:r>
          </w:p>
        </w:tc>
        <w:tc>
          <w:tcPr>
            <w:tcW w:w="450" w:type="pct"/>
          </w:tcPr>
          <w:p w14:paraId="25605E71" w14:textId="77777777" w:rsidR="00486795" w:rsidRDefault="00486795" w:rsidP="00E964F6">
            <w:pPr>
              <w:pStyle w:val="TableText"/>
            </w:pPr>
            <w:r>
              <w:t>24.6</w:t>
            </w:r>
          </w:p>
        </w:tc>
        <w:tc>
          <w:tcPr>
            <w:tcW w:w="450" w:type="pct"/>
          </w:tcPr>
          <w:p w14:paraId="7D13ECDD" w14:textId="77777777" w:rsidR="00486795" w:rsidRDefault="00486795" w:rsidP="00E964F6">
            <w:pPr>
              <w:pStyle w:val="TableText"/>
            </w:pPr>
            <w:r>
              <w:t>24.7</w:t>
            </w:r>
          </w:p>
        </w:tc>
        <w:tc>
          <w:tcPr>
            <w:tcW w:w="450" w:type="pct"/>
          </w:tcPr>
          <w:p w14:paraId="0072D5FF" w14:textId="77777777" w:rsidR="00486795" w:rsidRDefault="00486795" w:rsidP="00E964F6">
            <w:pPr>
              <w:pStyle w:val="TableText"/>
            </w:pPr>
            <w:r>
              <w:t>24.5</w:t>
            </w:r>
          </w:p>
        </w:tc>
        <w:tc>
          <w:tcPr>
            <w:tcW w:w="450" w:type="pct"/>
          </w:tcPr>
          <w:p w14:paraId="508846EA" w14:textId="77777777" w:rsidR="00486795" w:rsidRDefault="00486795" w:rsidP="00E964F6">
            <w:pPr>
              <w:pStyle w:val="TableText"/>
            </w:pPr>
            <w:r>
              <w:t>22.4</w:t>
            </w:r>
          </w:p>
        </w:tc>
        <w:tc>
          <w:tcPr>
            <w:tcW w:w="450" w:type="pct"/>
          </w:tcPr>
          <w:p w14:paraId="17157074" w14:textId="77777777" w:rsidR="00486795" w:rsidRDefault="00486795" w:rsidP="00E964F6">
            <w:pPr>
              <w:pStyle w:val="TableText"/>
            </w:pPr>
            <w:r>
              <w:t>23.6</w:t>
            </w:r>
          </w:p>
        </w:tc>
      </w:tr>
      <w:tr w:rsidR="00486795" w14:paraId="0B72EDD7" w14:textId="77777777" w:rsidTr="00E964F6">
        <w:trPr>
          <w:jc w:val="center"/>
        </w:trPr>
        <w:tc>
          <w:tcPr>
            <w:tcW w:w="1100" w:type="pct"/>
          </w:tcPr>
          <w:p w14:paraId="71729C06" w14:textId="77777777" w:rsidR="00486795" w:rsidRDefault="00486795" w:rsidP="00E964F6">
            <w:pPr>
              <w:pStyle w:val="TableText"/>
            </w:pPr>
            <w:r>
              <w:t>Total expenditure</w:t>
            </w:r>
          </w:p>
        </w:tc>
        <w:tc>
          <w:tcPr>
            <w:tcW w:w="750" w:type="pct"/>
          </w:tcPr>
          <w:p w14:paraId="54D878FB" w14:textId="77777777" w:rsidR="00486795" w:rsidRDefault="00486795" w:rsidP="00E964F6">
            <w:pPr>
              <w:pStyle w:val="TableText"/>
            </w:pPr>
            <w:r>
              <w:t>% GDP</w:t>
            </w:r>
          </w:p>
        </w:tc>
        <w:tc>
          <w:tcPr>
            <w:tcW w:w="450" w:type="pct"/>
          </w:tcPr>
          <w:p w14:paraId="0FA6171E" w14:textId="77777777" w:rsidR="00486795" w:rsidRDefault="00486795" w:rsidP="00E964F6">
            <w:pPr>
              <w:pStyle w:val="TableText"/>
            </w:pPr>
            <w:r>
              <w:t>34.3</w:t>
            </w:r>
          </w:p>
        </w:tc>
        <w:tc>
          <w:tcPr>
            <w:tcW w:w="450" w:type="pct"/>
          </w:tcPr>
          <w:p w14:paraId="71D19CE2" w14:textId="77777777" w:rsidR="00486795" w:rsidRDefault="00486795" w:rsidP="00E964F6">
            <w:pPr>
              <w:pStyle w:val="TableText"/>
            </w:pPr>
            <w:r>
              <w:t>34.9</w:t>
            </w:r>
          </w:p>
        </w:tc>
        <w:tc>
          <w:tcPr>
            <w:tcW w:w="450" w:type="pct"/>
          </w:tcPr>
          <w:p w14:paraId="117C72C8" w14:textId="77777777" w:rsidR="00486795" w:rsidRDefault="00486795" w:rsidP="00E964F6">
            <w:pPr>
              <w:pStyle w:val="TableText"/>
            </w:pPr>
            <w:r>
              <w:t>32.1</w:t>
            </w:r>
          </w:p>
        </w:tc>
        <w:tc>
          <w:tcPr>
            <w:tcW w:w="450" w:type="pct"/>
          </w:tcPr>
          <w:p w14:paraId="6E4C0CB0" w14:textId="77777777" w:rsidR="00486795" w:rsidRDefault="00486795" w:rsidP="00E964F6">
            <w:pPr>
              <w:pStyle w:val="TableText"/>
            </w:pPr>
            <w:r>
              <w:t>31.6</w:t>
            </w:r>
          </w:p>
        </w:tc>
        <w:tc>
          <w:tcPr>
            <w:tcW w:w="450" w:type="pct"/>
          </w:tcPr>
          <w:p w14:paraId="768FB851" w14:textId="77777777" w:rsidR="00486795" w:rsidRDefault="00486795" w:rsidP="00E964F6">
            <w:pPr>
              <w:pStyle w:val="TableText"/>
            </w:pPr>
            <w:r>
              <w:t>30.6</w:t>
            </w:r>
          </w:p>
        </w:tc>
        <w:tc>
          <w:tcPr>
            <w:tcW w:w="450" w:type="pct"/>
          </w:tcPr>
          <w:p w14:paraId="029EE95A" w14:textId="77777777" w:rsidR="00486795" w:rsidRDefault="00486795" w:rsidP="00E964F6">
            <w:pPr>
              <w:pStyle w:val="TableText"/>
            </w:pPr>
            <w:r>
              <w:t>27.0</w:t>
            </w:r>
          </w:p>
        </w:tc>
        <w:tc>
          <w:tcPr>
            <w:tcW w:w="450" w:type="pct"/>
          </w:tcPr>
          <w:p w14:paraId="256AC0CB" w14:textId="77777777" w:rsidR="00486795" w:rsidRDefault="00486795" w:rsidP="00E964F6">
            <w:pPr>
              <w:pStyle w:val="TableText"/>
            </w:pPr>
            <w:r>
              <w:t>28.5</w:t>
            </w:r>
          </w:p>
        </w:tc>
      </w:tr>
      <w:tr w:rsidR="00486795" w14:paraId="3E2EF65D" w14:textId="77777777" w:rsidTr="00E964F6">
        <w:trPr>
          <w:jc w:val="center"/>
        </w:trPr>
        <w:tc>
          <w:tcPr>
            <w:tcW w:w="1100" w:type="pct"/>
          </w:tcPr>
          <w:p w14:paraId="531AFD2A" w14:textId="77777777" w:rsidR="00486795" w:rsidRDefault="00486795" w:rsidP="00E964F6">
            <w:pPr>
              <w:pStyle w:val="TableText"/>
            </w:pPr>
            <w:r>
              <w:t>Overall deficit</w:t>
            </w:r>
          </w:p>
        </w:tc>
        <w:tc>
          <w:tcPr>
            <w:tcW w:w="750" w:type="pct"/>
          </w:tcPr>
          <w:p w14:paraId="4D6F069A" w14:textId="77777777" w:rsidR="00486795" w:rsidRDefault="00486795" w:rsidP="00E964F6">
            <w:pPr>
              <w:pStyle w:val="TableText"/>
            </w:pPr>
            <w:r>
              <w:t>% GDP</w:t>
            </w:r>
          </w:p>
        </w:tc>
        <w:tc>
          <w:tcPr>
            <w:tcW w:w="450" w:type="pct"/>
          </w:tcPr>
          <w:p w14:paraId="375D33B0" w14:textId="77777777" w:rsidR="00486795" w:rsidRDefault="00486795" w:rsidP="00E964F6">
            <w:pPr>
              <w:pStyle w:val="TableText"/>
            </w:pPr>
            <w:r>
              <w:t>-9.5</w:t>
            </w:r>
          </w:p>
        </w:tc>
        <w:tc>
          <w:tcPr>
            <w:tcW w:w="450" w:type="pct"/>
          </w:tcPr>
          <w:p w14:paraId="0D94B671" w14:textId="77777777" w:rsidR="00486795" w:rsidRDefault="00486795" w:rsidP="00E964F6">
            <w:pPr>
              <w:pStyle w:val="TableText"/>
            </w:pPr>
            <w:r>
              <w:t>-9.0</w:t>
            </w:r>
          </w:p>
        </w:tc>
        <w:tc>
          <w:tcPr>
            <w:tcW w:w="450" w:type="pct"/>
          </w:tcPr>
          <w:p w14:paraId="1D27B5D0" w14:textId="77777777" w:rsidR="00486795" w:rsidRDefault="00486795" w:rsidP="00E964F6">
            <w:pPr>
              <w:pStyle w:val="TableText"/>
            </w:pPr>
            <w:r>
              <w:t>-7.5</w:t>
            </w:r>
          </w:p>
        </w:tc>
        <w:tc>
          <w:tcPr>
            <w:tcW w:w="450" w:type="pct"/>
          </w:tcPr>
          <w:p w14:paraId="1776BF36" w14:textId="77777777" w:rsidR="00486795" w:rsidRDefault="00486795" w:rsidP="00E964F6">
            <w:pPr>
              <w:pStyle w:val="TableText"/>
            </w:pPr>
            <w:r>
              <w:t>-6.9</w:t>
            </w:r>
          </w:p>
        </w:tc>
        <w:tc>
          <w:tcPr>
            <w:tcW w:w="450" w:type="pct"/>
          </w:tcPr>
          <w:p w14:paraId="41923B81" w14:textId="77777777" w:rsidR="00486795" w:rsidRDefault="00486795" w:rsidP="00E964F6">
            <w:pPr>
              <w:pStyle w:val="TableText"/>
            </w:pPr>
            <w:r>
              <w:t>-6.0</w:t>
            </w:r>
          </w:p>
        </w:tc>
        <w:tc>
          <w:tcPr>
            <w:tcW w:w="450" w:type="pct"/>
          </w:tcPr>
          <w:p w14:paraId="2201A93E" w14:textId="77777777" w:rsidR="00486795" w:rsidRDefault="00486795" w:rsidP="00E964F6">
            <w:pPr>
              <w:pStyle w:val="TableText"/>
            </w:pPr>
            <w:r>
              <w:t>-4.6</w:t>
            </w:r>
          </w:p>
        </w:tc>
        <w:tc>
          <w:tcPr>
            <w:tcW w:w="450" w:type="pct"/>
          </w:tcPr>
          <w:p w14:paraId="34C68026" w14:textId="77777777" w:rsidR="00486795" w:rsidRDefault="00486795" w:rsidP="00E964F6">
            <w:pPr>
              <w:pStyle w:val="TableText"/>
            </w:pPr>
            <w:r>
              <w:t>-4.9</w:t>
            </w:r>
          </w:p>
        </w:tc>
      </w:tr>
      <w:tr w:rsidR="00486795" w14:paraId="23433FF9" w14:textId="77777777" w:rsidTr="00E964F6">
        <w:trPr>
          <w:jc w:val="center"/>
        </w:trPr>
        <w:tc>
          <w:tcPr>
            <w:tcW w:w="1100" w:type="pct"/>
          </w:tcPr>
          <w:p w14:paraId="2AAE2F58" w14:textId="77777777" w:rsidR="00486795" w:rsidRDefault="00486795" w:rsidP="00E964F6">
            <w:pPr>
              <w:pStyle w:val="TableText"/>
            </w:pPr>
            <w:r>
              <w:t>Internal debt</w:t>
            </w:r>
          </w:p>
        </w:tc>
        <w:tc>
          <w:tcPr>
            <w:tcW w:w="750" w:type="pct"/>
          </w:tcPr>
          <w:p w14:paraId="775B0979" w14:textId="77777777" w:rsidR="00486795" w:rsidRDefault="00486795" w:rsidP="00E964F6">
            <w:pPr>
              <w:pStyle w:val="TableText"/>
            </w:pPr>
            <w:r>
              <w:t>% GDP</w:t>
            </w:r>
          </w:p>
        </w:tc>
        <w:tc>
          <w:tcPr>
            <w:tcW w:w="450" w:type="pct"/>
          </w:tcPr>
          <w:p w14:paraId="7A87643C" w14:textId="77777777" w:rsidR="00486795" w:rsidRDefault="00486795" w:rsidP="00E964F6">
            <w:pPr>
              <w:pStyle w:val="TableText"/>
            </w:pPr>
            <w:r>
              <w:t>36.2</w:t>
            </w:r>
          </w:p>
        </w:tc>
        <w:tc>
          <w:tcPr>
            <w:tcW w:w="450" w:type="pct"/>
          </w:tcPr>
          <w:p w14:paraId="371D469C" w14:textId="77777777" w:rsidR="00486795" w:rsidRDefault="00486795" w:rsidP="00E964F6">
            <w:pPr>
              <w:pStyle w:val="TableText"/>
            </w:pPr>
            <w:r>
              <w:t>37.4</w:t>
            </w:r>
          </w:p>
        </w:tc>
        <w:tc>
          <w:tcPr>
            <w:tcW w:w="450" w:type="pct"/>
          </w:tcPr>
          <w:p w14:paraId="792AAF67" w14:textId="77777777" w:rsidR="00486795" w:rsidRDefault="00486795" w:rsidP="00E964F6">
            <w:pPr>
              <w:pStyle w:val="TableText"/>
            </w:pPr>
            <w:r>
              <w:t>42.6</w:t>
            </w:r>
          </w:p>
        </w:tc>
        <w:tc>
          <w:tcPr>
            <w:tcW w:w="450" w:type="pct"/>
          </w:tcPr>
          <w:p w14:paraId="7597EF5C" w14:textId="77777777" w:rsidR="00486795" w:rsidRDefault="00486795" w:rsidP="00E964F6">
            <w:pPr>
              <w:pStyle w:val="TableText"/>
            </w:pPr>
            <w:r>
              <w:t>39.6</w:t>
            </w:r>
          </w:p>
        </w:tc>
        <w:tc>
          <w:tcPr>
            <w:tcW w:w="450" w:type="pct"/>
          </w:tcPr>
          <w:p w14:paraId="60C6A0D2" w14:textId="77777777" w:rsidR="00486795" w:rsidRDefault="00486795" w:rsidP="00E964F6">
            <w:pPr>
              <w:pStyle w:val="TableText"/>
            </w:pPr>
            <w:r>
              <w:t>38.8</w:t>
            </w:r>
          </w:p>
        </w:tc>
        <w:tc>
          <w:tcPr>
            <w:tcW w:w="450" w:type="pct"/>
          </w:tcPr>
          <w:p w14:paraId="3F1470A1" w14:textId="77777777" w:rsidR="00486795" w:rsidRDefault="00486795" w:rsidP="00E964F6">
            <w:pPr>
              <w:pStyle w:val="TableText"/>
            </w:pPr>
            <w:r>
              <w:t>38.0</w:t>
            </w:r>
          </w:p>
        </w:tc>
        <w:tc>
          <w:tcPr>
            <w:tcW w:w="450" w:type="pct"/>
          </w:tcPr>
          <w:p w14:paraId="0E31B040" w14:textId="77777777" w:rsidR="00486795" w:rsidRDefault="00486795" w:rsidP="00E964F6">
            <w:pPr>
              <w:pStyle w:val="TableText"/>
            </w:pPr>
            <w:r>
              <w:t>37.8</w:t>
            </w:r>
          </w:p>
        </w:tc>
      </w:tr>
      <w:tr w:rsidR="00486795" w14:paraId="306F458F" w14:textId="77777777" w:rsidTr="00E964F6">
        <w:trPr>
          <w:jc w:val="center"/>
        </w:trPr>
        <w:tc>
          <w:tcPr>
            <w:tcW w:w="1100" w:type="pct"/>
            <w:tcBorders>
              <w:bottom w:val="single" w:sz="4" w:space="0" w:color="auto"/>
            </w:tcBorders>
          </w:tcPr>
          <w:p w14:paraId="65F9FA30" w14:textId="77777777" w:rsidR="00486795" w:rsidRDefault="00486795" w:rsidP="00E964F6">
            <w:pPr>
              <w:pStyle w:val="TableText"/>
            </w:pPr>
            <w:r>
              <w:t>External debt</w:t>
            </w:r>
          </w:p>
        </w:tc>
        <w:tc>
          <w:tcPr>
            <w:tcW w:w="750" w:type="pct"/>
            <w:tcBorders>
              <w:bottom w:val="single" w:sz="4" w:space="0" w:color="auto"/>
            </w:tcBorders>
          </w:tcPr>
          <w:p w14:paraId="41FFEF42" w14:textId="77777777" w:rsidR="00486795" w:rsidRDefault="00486795" w:rsidP="00E964F6">
            <w:pPr>
              <w:pStyle w:val="TableText"/>
            </w:pPr>
            <w:r>
              <w:t>% GDP</w:t>
            </w:r>
          </w:p>
        </w:tc>
        <w:tc>
          <w:tcPr>
            <w:tcW w:w="450" w:type="pct"/>
            <w:tcBorders>
              <w:bottom w:val="single" w:sz="4" w:space="0" w:color="auto"/>
            </w:tcBorders>
          </w:tcPr>
          <w:p w14:paraId="128A9F6E" w14:textId="77777777" w:rsidR="00486795" w:rsidRDefault="00486795" w:rsidP="00E964F6">
            <w:pPr>
              <w:pStyle w:val="TableText"/>
            </w:pPr>
            <w:r>
              <w:t>36.9</w:t>
            </w:r>
          </w:p>
        </w:tc>
        <w:tc>
          <w:tcPr>
            <w:tcW w:w="450" w:type="pct"/>
            <w:tcBorders>
              <w:bottom w:val="single" w:sz="4" w:space="0" w:color="auto"/>
            </w:tcBorders>
          </w:tcPr>
          <w:p w14:paraId="6B12FA60" w14:textId="77777777" w:rsidR="00486795" w:rsidRDefault="00486795" w:rsidP="00E964F6">
            <w:pPr>
              <w:pStyle w:val="TableText"/>
            </w:pPr>
            <w:r>
              <w:t>32.3</w:t>
            </w:r>
          </w:p>
        </w:tc>
        <w:tc>
          <w:tcPr>
            <w:tcW w:w="450" w:type="pct"/>
            <w:tcBorders>
              <w:bottom w:val="single" w:sz="4" w:space="0" w:color="auto"/>
            </w:tcBorders>
          </w:tcPr>
          <w:p w14:paraId="521C36A6" w14:textId="77777777" w:rsidR="00486795" w:rsidRDefault="00486795" w:rsidP="00E964F6">
            <w:pPr>
              <w:pStyle w:val="TableText"/>
            </w:pPr>
            <w:r>
              <w:t>31.6</w:t>
            </w:r>
          </w:p>
        </w:tc>
        <w:tc>
          <w:tcPr>
            <w:tcW w:w="450" w:type="pct"/>
            <w:tcBorders>
              <w:bottom w:val="single" w:sz="4" w:space="0" w:color="auto"/>
            </w:tcBorders>
          </w:tcPr>
          <w:p w14:paraId="1F696F39" w14:textId="77777777" w:rsidR="00486795" w:rsidRDefault="00486795" w:rsidP="00E964F6">
            <w:pPr>
              <w:pStyle w:val="TableText"/>
            </w:pPr>
            <w:r>
              <w:t>28.2</w:t>
            </w:r>
          </w:p>
        </w:tc>
        <w:tc>
          <w:tcPr>
            <w:tcW w:w="450" w:type="pct"/>
            <w:tcBorders>
              <w:bottom w:val="single" w:sz="4" w:space="0" w:color="auto"/>
            </w:tcBorders>
          </w:tcPr>
          <w:p w14:paraId="2ADCAD48" w14:textId="77777777" w:rsidR="00486795" w:rsidRDefault="00486795" w:rsidP="00E964F6">
            <w:pPr>
              <w:pStyle w:val="TableText"/>
            </w:pPr>
            <w:r>
              <w:t>24.4</w:t>
            </w:r>
          </w:p>
        </w:tc>
        <w:tc>
          <w:tcPr>
            <w:tcW w:w="450" w:type="pct"/>
            <w:tcBorders>
              <w:bottom w:val="single" w:sz="4" w:space="0" w:color="auto"/>
            </w:tcBorders>
          </w:tcPr>
          <w:p w14:paraId="6EF0793F" w14:textId="77777777" w:rsidR="00486795" w:rsidRDefault="00486795" w:rsidP="00E964F6">
            <w:pPr>
              <w:pStyle w:val="TableText"/>
            </w:pPr>
            <w:r>
              <w:t>23.3</w:t>
            </w:r>
          </w:p>
        </w:tc>
        <w:tc>
          <w:tcPr>
            <w:tcW w:w="450" w:type="pct"/>
            <w:tcBorders>
              <w:bottom w:val="single" w:sz="4" w:space="0" w:color="auto"/>
            </w:tcBorders>
          </w:tcPr>
          <w:p w14:paraId="1A685AC7" w14:textId="77777777" w:rsidR="00486795" w:rsidRDefault="00486795" w:rsidP="00E964F6">
            <w:pPr>
              <w:pStyle w:val="TableText"/>
            </w:pPr>
            <w:r>
              <w:t>18.3</w:t>
            </w:r>
          </w:p>
        </w:tc>
      </w:tr>
      <w:tr w:rsidR="00486795" w14:paraId="61AD11DD" w14:textId="77777777" w:rsidTr="00E964F6">
        <w:trPr>
          <w:jc w:val="center"/>
        </w:trPr>
        <w:tc>
          <w:tcPr>
            <w:tcW w:w="1100" w:type="pct"/>
            <w:tcBorders>
              <w:top w:val="single" w:sz="4" w:space="0" w:color="auto"/>
              <w:bottom w:val="nil"/>
            </w:tcBorders>
          </w:tcPr>
          <w:p w14:paraId="37CC3A71" w14:textId="77777777" w:rsidR="00486795" w:rsidRDefault="00486795" w:rsidP="00E964F6">
            <w:pPr>
              <w:pStyle w:val="TableText"/>
            </w:pPr>
            <w:r>
              <w:t>Balance of payments</w:t>
            </w:r>
          </w:p>
        </w:tc>
        <w:tc>
          <w:tcPr>
            <w:tcW w:w="750" w:type="pct"/>
            <w:tcBorders>
              <w:top w:val="single" w:sz="4" w:space="0" w:color="auto"/>
              <w:bottom w:val="nil"/>
            </w:tcBorders>
          </w:tcPr>
          <w:p w14:paraId="30EAE36F" w14:textId="77777777" w:rsidR="00486795" w:rsidRDefault="00486795" w:rsidP="00E964F6">
            <w:pPr>
              <w:pStyle w:val="TableText"/>
            </w:pPr>
          </w:p>
        </w:tc>
        <w:tc>
          <w:tcPr>
            <w:tcW w:w="450" w:type="pct"/>
            <w:tcBorders>
              <w:top w:val="single" w:sz="4" w:space="0" w:color="auto"/>
              <w:bottom w:val="nil"/>
            </w:tcBorders>
          </w:tcPr>
          <w:p w14:paraId="3E23DFC2" w14:textId="77777777" w:rsidR="00486795" w:rsidRDefault="00486795" w:rsidP="00E964F6">
            <w:pPr>
              <w:pStyle w:val="TableText"/>
            </w:pPr>
          </w:p>
        </w:tc>
        <w:tc>
          <w:tcPr>
            <w:tcW w:w="450" w:type="pct"/>
            <w:tcBorders>
              <w:top w:val="single" w:sz="4" w:space="0" w:color="auto"/>
              <w:bottom w:val="nil"/>
            </w:tcBorders>
          </w:tcPr>
          <w:p w14:paraId="014BE56E" w14:textId="77777777" w:rsidR="00486795" w:rsidRDefault="00486795" w:rsidP="00E964F6">
            <w:pPr>
              <w:pStyle w:val="TableText"/>
            </w:pPr>
          </w:p>
        </w:tc>
        <w:tc>
          <w:tcPr>
            <w:tcW w:w="450" w:type="pct"/>
            <w:tcBorders>
              <w:top w:val="single" w:sz="4" w:space="0" w:color="auto"/>
              <w:bottom w:val="nil"/>
            </w:tcBorders>
          </w:tcPr>
          <w:p w14:paraId="57AD592B" w14:textId="77777777" w:rsidR="00486795" w:rsidRDefault="00486795" w:rsidP="00E964F6">
            <w:pPr>
              <w:pStyle w:val="TableText"/>
            </w:pPr>
          </w:p>
        </w:tc>
        <w:tc>
          <w:tcPr>
            <w:tcW w:w="450" w:type="pct"/>
            <w:tcBorders>
              <w:top w:val="single" w:sz="4" w:space="0" w:color="auto"/>
              <w:bottom w:val="nil"/>
            </w:tcBorders>
          </w:tcPr>
          <w:p w14:paraId="3042A6E8" w14:textId="77777777" w:rsidR="00486795" w:rsidRDefault="00486795" w:rsidP="00E964F6">
            <w:pPr>
              <w:pStyle w:val="TableText"/>
            </w:pPr>
          </w:p>
        </w:tc>
        <w:tc>
          <w:tcPr>
            <w:tcW w:w="450" w:type="pct"/>
            <w:tcBorders>
              <w:top w:val="single" w:sz="4" w:space="0" w:color="auto"/>
              <w:bottom w:val="nil"/>
            </w:tcBorders>
          </w:tcPr>
          <w:p w14:paraId="0809E0E3" w14:textId="77777777" w:rsidR="00486795" w:rsidRDefault="00486795" w:rsidP="00E964F6">
            <w:pPr>
              <w:pStyle w:val="TableText"/>
            </w:pPr>
          </w:p>
        </w:tc>
        <w:tc>
          <w:tcPr>
            <w:tcW w:w="450" w:type="pct"/>
            <w:tcBorders>
              <w:top w:val="single" w:sz="4" w:space="0" w:color="auto"/>
              <w:bottom w:val="nil"/>
            </w:tcBorders>
          </w:tcPr>
          <w:p w14:paraId="7E050654" w14:textId="77777777" w:rsidR="00486795" w:rsidRDefault="00486795" w:rsidP="00E964F6">
            <w:pPr>
              <w:pStyle w:val="TableText"/>
            </w:pPr>
          </w:p>
        </w:tc>
        <w:tc>
          <w:tcPr>
            <w:tcW w:w="450" w:type="pct"/>
            <w:tcBorders>
              <w:top w:val="single" w:sz="4" w:space="0" w:color="auto"/>
              <w:bottom w:val="nil"/>
            </w:tcBorders>
          </w:tcPr>
          <w:p w14:paraId="21D0C89E" w14:textId="77777777" w:rsidR="00486795" w:rsidRDefault="00486795" w:rsidP="00E964F6">
            <w:pPr>
              <w:pStyle w:val="TableText"/>
            </w:pPr>
          </w:p>
        </w:tc>
      </w:tr>
      <w:tr w:rsidR="00486795" w14:paraId="711A4799" w14:textId="77777777" w:rsidTr="00E964F6">
        <w:trPr>
          <w:jc w:val="center"/>
        </w:trPr>
        <w:tc>
          <w:tcPr>
            <w:tcW w:w="1100" w:type="pct"/>
            <w:tcBorders>
              <w:top w:val="nil"/>
            </w:tcBorders>
          </w:tcPr>
          <w:p w14:paraId="47933B87" w14:textId="77777777" w:rsidR="00486795" w:rsidRDefault="00486795" w:rsidP="00E964F6">
            <w:pPr>
              <w:pStyle w:val="TableText"/>
            </w:pPr>
            <w:r>
              <w:t>Trade balance</w:t>
            </w:r>
          </w:p>
        </w:tc>
        <w:tc>
          <w:tcPr>
            <w:tcW w:w="750" w:type="pct"/>
            <w:tcBorders>
              <w:top w:val="nil"/>
            </w:tcBorders>
          </w:tcPr>
          <w:p w14:paraId="765F87A0" w14:textId="77777777" w:rsidR="00486795" w:rsidRDefault="00486795" w:rsidP="00E964F6">
            <w:pPr>
              <w:pStyle w:val="TableText"/>
            </w:pPr>
            <w:r>
              <w:t>$ million</w:t>
            </w:r>
          </w:p>
        </w:tc>
        <w:tc>
          <w:tcPr>
            <w:tcW w:w="450" w:type="pct"/>
            <w:tcBorders>
              <w:top w:val="nil"/>
            </w:tcBorders>
          </w:tcPr>
          <w:p w14:paraId="49E3004F" w14:textId="77777777" w:rsidR="00486795" w:rsidRDefault="00486795" w:rsidP="00E964F6">
            <w:pPr>
              <w:pStyle w:val="TableText"/>
            </w:pPr>
            <w:r>
              <w:t>-604</w:t>
            </w:r>
          </w:p>
        </w:tc>
        <w:tc>
          <w:tcPr>
            <w:tcW w:w="450" w:type="pct"/>
            <w:tcBorders>
              <w:top w:val="nil"/>
            </w:tcBorders>
          </w:tcPr>
          <w:p w14:paraId="248FA1DB" w14:textId="77777777" w:rsidR="00486795" w:rsidRDefault="00486795" w:rsidP="00E964F6">
            <w:pPr>
              <w:pStyle w:val="TableText"/>
            </w:pPr>
            <w:r>
              <w:t>-663</w:t>
            </w:r>
          </w:p>
        </w:tc>
        <w:tc>
          <w:tcPr>
            <w:tcW w:w="450" w:type="pct"/>
            <w:tcBorders>
              <w:top w:val="nil"/>
            </w:tcBorders>
          </w:tcPr>
          <w:p w14:paraId="35410927" w14:textId="77777777" w:rsidR="00486795" w:rsidRDefault="00486795" w:rsidP="00E964F6">
            <w:pPr>
              <w:pStyle w:val="TableText"/>
            </w:pPr>
            <w:r>
              <w:t>-821</w:t>
            </w:r>
          </w:p>
        </w:tc>
        <w:tc>
          <w:tcPr>
            <w:tcW w:w="450" w:type="pct"/>
            <w:tcBorders>
              <w:top w:val="nil"/>
            </w:tcBorders>
          </w:tcPr>
          <w:p w14:paraId="1B08F8A8" w14:textId="77777777" w:rsidR="00486795" w:rsidRDefault="00486795" w:rsidP="00E964F6">
            <w:pPr>
              <w:pStyle w:val="TableText"/>
            </w:pPr>
            <w:r>
              <w:t>-1027</w:t>
            </w:r>
          </w:p>
        </w:tc>
        <w:tc>
          <w:tcPr>
            <w:tcW w:w="450" w:type="pct"/>
            <w:tcBorders>
              <w:top w:val="nil"/>
            </w:tcBorders>
          </w:tcPr>
          <w:p w14:paraId="4238168E" w14:textId="77777777" w:rsidR="00486795" w:rsidRDefault="00486795" w:rsidP="00E964F6">
            <w:pPr>
              <w:pStyle w:val="TableText"/>
            </w:pPr>
            <w:r>
              <w:t>-1155</w:t>
            </w:r>
          </w:p>
        </w:tc>
        <w:tc>
          <w:tcPr>
            <w:tcW w:w="450" w:type="pct"/>
            <w:tcBorders>
              <w:top w:val="nil"/>
            </w:tcBorders>
          </w:tcPr>
          <w:p w14:paraId="7CC61109" w14:textId="77777777" w:rsidR="00486795" w:rsidRDefault="00486795" w:rsidP="00E964F6">
            <w:pPr>
              <w:pStyle w:val="TableText"/>
            </w:pPr>
            <w:r>
              <w:t>-1336</w:t>
            </w:r>
          </w:p>
        </w:tc>
        <w:tc>
          <w:tcPr>
            <w:tcW w:w="450" w:type="pct"/>
            <w:tcBorders>
              <w:top w:val="nil"/>
            </w:tcBorders>
          </w:tcPr>
          <w:p w14:paraId="55888319" w14:textId="77777777" w:rsidR="00486795" w:rsidRDefault="00486795" w:rsidP="00E964F6">
            <w:pPr>
              <w:pStyle w:val="TableText"/>
            </w:pPr>
            <w:r>
              <w:t>-1579</w:t>
            </w:r>
          </w:p>
        </w:tc>
      </w:tr>
      <w:tr w:rsidR="00486795" w14:paraId="4E4320A1" w14:textId="77777777" w:rsidTr="00E964F6">
        <w:trPr>
          <w:jc w:val="center"/>
        </w:trPr>
        <w:tc>
          <w:tcPr>
            <w:tcW w:w="1100" w:type="pct"/>
          </w:tcPr>
          <w:p w14:paraId="1839998B" w14:textId="77777777" w:rsidR="00486795" w:rsidRDefault="00486795" w:rsidP="00E964F6">
            <w:pPr>
              <w:pStyle w:val="TableText"/>
            </w:pPr>
            <w:r>
              <w:t>Exports</w:t>
            </w:r>
          </w:p>
        </w:tc>
        <w:tc>
          <w:tcPr>
            <w:tcW w:w="750" w:type="pct"/>
          </w:tcPr>
          <w:p w14:paraId="74C41EC4" w14:textId="77777777" w:rsidR="00486795" w:rsidRDefault="00486795" w:rsidP="00E964F6">
            <w:pPr>
              <w:pStyle w:val="TableText"/>
            </w:pPr>
            <w:r>
              <w:t>$ million</w:t>
            </w:r>
          </w:p>
        </w:tc>
        <w:tc>
          <w:tcPr>
            <w:tcW w:w="450" w:type="pct"/>
          </w:tcPr>
          <w:p w14:paraId="22DD4B07" w14:textId="77777777" w:rsidR="00486795" w:rsidRDefault="00486795" w:rsidP="00E964F6">
            <w:pPr>
              <w:pStyle w:val="TableText"/>
            </w:pPr>
            <w:r>
              <w:t>208</w:t>
            </w:r>
          </w:p>
        </w:tc>
        <w:tc>
          <w:tcPr>
            <w:tcW w:w="450" w:type="pct"/>
          </w:tcPr>
          <w:p w14:paraId="1E940EE8" w14:textId="77777777" w:rsidR="00486795" w:rsidRDefault="00486795" w:rsidP="00E964F6">
            <w:pPr>
              <w:pStyle w:val="TableText"/>
            </w:pPr>
            <w:r>
              <w:t>275</w:t>
            </w:r>
          </w:p>
        </w:tc>
        <w:tc>
          <w:tcPr>
            <w:tcW w:w="450" w:type="pct"/>
          </w:tcPr>
          <w:p w14:paraId="310C9913" w14:textId="77777777" w:rsidR="00486795" w:rsidRDefault="00486795" w:rsidP="00E964F6">
            <w:pPr>
              <w:pStyle w:val="TableText"/>
            </w:pPr>
            <w:r>
              <w:t>255</w:t>
            </w:r>
          </w:p>
        </w:tc>
        <w:tc>
          <w:tcPr>
            <w:tcW w:w="450" w:type="pct"/>
          </w:tcPr>
          <w:p w14:paraId="4B59299F" w14:textId="77777777" w:rsidR="00486795" w:rsidRDefault="00486795" w:rsidP="00E964F6">
            <w:pPr>
              <w:pStyle w:val="TableText"/>
            </w:pPr>
            <w:r>
              <w:t>305</w:t>
            </w:r>
          </w:p>
        </w:tc>
        <w:tc>
          <w:tcPr>
            <w:tcW w:w="450" w:type="pct"/>
          </w:tcPr>
          <w:p w14:paraId="369E89AF" w14:textId="77777777" w:rsidR="00486795" w:rsidRDefault="00486795" w:rsidP="00E964F6">
            <w:pPr>
              <w:pStyle w:val="TableText"/>
            </w:pPr>
            <w:r>
              <w:t>330</w:t>
            </w:r>
          </w:p>
        </w:tc>
        <w:tc>
          <w:tcPr>
            <w:tcW w:w="450" w:type="pct"/>
          </w:tcPr>
          <w:p w14:paraId="7B14DF01" w14:textId="77777777" w:rsidR="00486795" w:rsidRDefault="00486795" w:rsidP="00E964F6">
            <w:pPr>
              <w:pStyle w:val="TableText"/>
            </w:pPr>
            <w:r>
              <w:t>447</w:t>
            </w:r>
          </w:p>
        </w:tc>
        <w:tc>
          <w:tcPr>
            <w:tcW w:w="450" w:type="pct"/>
          </w:tcPr>
          <w:p w14:paraId="6ABC20CC" w14:textId="77777777" w:rsidR="00486795" w:rsidRDefault="00486795" w:rsidP="00E964F6">
            <w:pPr>
              <w:pStyle w:val="TableText"/>
            </w:pPr>
            <w:r>
              <w:t>603</w:t>
            </w:r>
          </w:p>
        </w:tc>
      </w:tr>
      <w:tr w:rsidR="00486795" w14:paraId="7DFB3E0E" w14:textId="77777777" w:rsidTr="00E964F6">
        <w:trPr>
          <w:jc w:val="center"/>
        </w:trPr>
        <w:tc>
          <w:tcPr>
            <w:tcW w:w="1100" w:type="pct"/>
          </w:tcPr>
          <w:p w14:paraId="00479742" w14:textId="77777777" w:rsidR="00486795" w:rsidRDefault="00486795" w:rsidP="00E964F6">
            <w:pPr>
              <w:pStyle w:val="TableText"/>
            </w:pPr>
            <w:r>
              <w:t>Imports</w:t>
            </w:r>
          </w:p>
        </w:tc>
        <w:tc>
          <w:tcPr>
            <w:tcW w:w="750" w:type="pct"/>
          </w:tcPr>
          <w:p w14:paraId="55827F7D" w14:textId="77777777" w:rsidR="00486795" w:rsidRDefault="00486795" w:rsidP="00E964F6">
            <w:pPr>
              <w:pStyle w:val="TableText"/>
            </w:pPr>
            <w:r>
              <w:t>$ million</w:t>
            </w:r>
          </w:p>
        </w:tc>
        <w:tc>
          <w:tcPr>
            <w:tcW w:w="450" w:type="pct"/>
          </w:tcPr>
          <w:p w14:paraId="0A61C751" w14:textId="77777777" w:rsidR="00486795" w:rsidRDefault="00486795" w:rsidP="00E964F6">
            <w:pPr>
              <w:pStyle w:val="TableText"/>
            </w:pPr>
            <w:r>
              <w:t>812</w:t>
            </w:r>
          </w:p>
        </w:tc>
        <w:tc>
          <w:tcPr>
            <w:tcW w:w="450" w:type="pct"/>
          </w:tcPr>
          <w:p w14:paraId="64281550" w14:textId="77777777" w:rsidR="00486795" w:rsidRDefault="00486795" w:rsidP="00E964F6">
            <w:pPr>
              <w:pStyle w:val="TableText"/>
            </w:pPr>
            <w:r>
              <w:t>938</w:t>
            </w:r>
          </w:p>
        </w:tc>
        <w:tc>
          <w:tcPr>
            <w:tcW w:w="450" w:type="pct"/>
          </w:tcPr>
          <w:p w14:paraId="70C68250" w14:textId="77777777" w:rsidR="00486795" w:rsidRDefault="00486795" w:rsidP="00E964F6">
            <w:pPr>
              <w:pStyle w:val="TableText"/>
            </w:pPr>
            <w:r>
              <w:t>1076</w:t>
            </w:r>
          </w:p>
        </w:tc>
        <w:tc>
          <w:tcPr>
            <w:tcW w:w="450" w:type="pct"/>
          </w:tcPr>
          <w:p w14:paraId="0A82389E" w14:textId="77777777" w:rsidR="00486795" w:rsidRDefault="00486795" w:rsidP="00E964F6">
            <w:pPr>
              <w:pStyle w:val="TableText"/>
            </w:pPr>
            <w:r>
              <w:t>1332</w:t>
            </w:r>
          </w:p>
        </w:tc>
        <w:tc>
          <w:tcPr>
            <w:tcW w:w="450" w:type="pct"/>
          </w:tcPr>
          <w:p w14:paraId="40C2BB1F" w14:textId="77777777" w:rsidR="00486795" w:rsidRDefault="00486795" w:rsidP="00E964F6">
            <w:pPr>
              <w:pStyle w:val="TableText"/>
            </w:pPr>
            <w:r>
              <w:t>1485</w:t>
            </w:r>
          </w:p>
        </w:tc>
        <w:tc>
          <w:tcPr>
            <w:tcW w:w="450" w:type="pct"/>
          </w:tcPr>
          <w:p w14:paraId="0991772C" w14:textId="77777777" w:rsidR="00486795" w:rsidRDefault="00486795" w:rsidP="00E964F6">
            <w:pPr>
              <w:pStyle w:val="TableText"/>
            </w:pPr>
            <w:r>
              <w:t>1783</w:t>
            </w:r>
          </w:p>
        </w:tc>
        <w:tc>
          <w:tcPr>
            <w:tcW w:w="450" w:type="pct"/>
          </w:tcPr>
          <w:p w14:paraId="2C957D78" w14:textId="77777777" w:rsidR="00486795" w:rsidRDefault="00486795" w:rsidP="00E964F6">
            <w:pPr>
              <w:pStyle w:val="TableText"/>
            </w:pPr>
            <w:r>
              <w:t>2182</w:t>
            </w:r>
          </w:p>
        </w:tc>
      </w:tr>
      <w:tr w:rsidR="00486795" w14:paraId="44376C22" w14:textId="77777777" w:rsidTr="00E964F6">
        <w:trPr>
          <w:jc w:val="center"/>
        </w:trPr>
        <w:tc>
          <w:tcPr>
            <w:tcW w:w="1100" w:type="pct"/>
          </w:tcPr>
          <w:p w14:paraId="2A889AA5" w14:textId="77777777" w:rsidR="00486795" w:rsidRDefault="00486795" w:rsidP="00E964F6">
            <w:pPr>
              <w:pStyle w:val="TableText"/>
            </w:pPr>
            <w:r>
              <w:lastRenderedPageBreak/>
              <w:t>Transfers</w:t>
            </w:r>
          </w:p>
        </w:tc>
        <w:tc>
          <w:tcPr>
            <w:tcW w:w="750" w:type="pct"/>
          </w:tcPr>
          <w:p w14:paraId="55A173A6" w14:textId="77777777" w:rsidR="00486795" w:rsidRDefault="00486795" w:rsidP="00E964F6">
            <w:pPr>
              <w:pStyle w:val="TableText"/>
            </w:pPr>
            <w:r>
              <w:t>$ million</w:t>
            </w:r>
          </w:p>
        </w:tc>
        <w:tc>
          <w:tcPr>
            <w:tcW w:w="450" w:type="pct"/>
          </w:tcPr>
          <w:p w14:paraId="2DDE7AA0" w14:textId="77777777" w:rsidR="00486795" w:rsidRDefault="00486795" w:rsidP="00E964F6">
            <w:pPr>
              <w:pStyle w:val="TableText"/>
            </w:pPr>
            <w:r>
              <w:t>520</w:t>
            </w:r>
          </w:p>
        </w:tc>
        <w:tc>
          <w:tcPr>
            <w:tcW w:w="450" w:type="pct"/>
          </w:tcPr>
          <w:p w14:paraId="4B13255D" w14:textId="77777777" w:rsidR="00486795" w:rsidRDefault="00486795" w:rsidP="00E964F6">
            <w:pPr>
              <w:pStyle w:val="TableText"/>
            </w:pPr>
            <w:r>
              <w:t>353</w:t>
            </w:r>
          </w:p>
        </w:tc>
        <w:tc>
          <w:tcPr>
            <w:tcW w:w="450" w:type="pct"/>
          </w:tcPr>
          <w:p w14:paraId="388D4770" w14:textId="77777777" w:rsidR="00486795" w:rsidRDefault="00486795" w:rsidP="00E964F6">
            <w:pPr>
              <w:pStyle w:val="TableText"/>
            </w:pPr>
            <w:r>
              <w:t>533</w:t>
            </w:r>
          </w:p>
        </w:tc>
        <w:tc>
          <w:tcPr>
            <w:tcW w:w="450" w:type="pct"/>
          </w:tcPr>
          <w:p w14:paraId="1EFA67AF" w14:textId="77777777" w:rsidR="00486795" w:rsidRDefault="00486795" w:rsidP="00E964F6">
            <w:pPr>
              <w:pStyle w:val="TableText"/>
            </w:pPr>
            <w:r>
              <w:t>571</w:t>
            </w:r>
          </w:p>
        </w:tc>
        <w:tc>
          <w:tcPr>
            <w:tcW w:w="450" w:type="pct"/>
          </w:tcPr>
          <w:p w14:paraId="07686FCE" w14:textId="77777777" w:rsidR="00486795" w:rsidRDefault="00486795" w:rsidP="00E964F6">
            <w:pPr>
              <w:pStyle w:val="TableText"/>
            </w:pPr>
            <w:r>
              <w:t>613</w:t>
            </w:r>
          </w:p>
        </w:tc>
        <w:tc>
          <w:tcPr>
            <w:tcW w:w="450" w:type="pct"/>
          </w:tcPr>
          <w:p w14:paraId="4C95F366" w14:textId="77777777" w:rsidR="00486795" w:rsidRDefault="00486795" w:rsidP="00E964F6">
            <w:pPr>
              <w:pStyle w:val="TableText"/>
            </w:pPr>
            <w:r>
              <w:t>842</w:t>
            </w:r>
          </w:p>
        </w:tc>
        <w:tc>
          <w:tcPr>
            <w:tcW w:w="450" w:type="pct"/>
          </w:tcPr>
          <w:p w14:paraId="2FA7676C" w14:textId="77777777" w:rsidR="00486795" w:rsidRDefault="00486795" w:rsidP="00E964F6">
            <w:pPr>
              <w:pStyle w:val="TableText"/>
            </w:pPr>
            <w:r>
              <w:t>1043</w:t>
            </w:r>
          </w:p>
        </w:tc>
      </w:tr>
      <w:tr w:rsidR="00486795" w14:paraId="42E1652E" w14:textId="77777777" w:rsidTr="00E964F6">
        <w:trPr>
          <w:jc w:val="center"/>
        </w:trPr>
        <w:tc>
          <w:tcPr>
            <w:tcW w:w="1100" w:type="pct"/>
          </w:tcPr>
          <w:p w14:paraId="1D3C1C49" w14:textId="77777777" w:rsidR="00486795" w:rsidRDefault="00486795" w:rsidP="00E964F6">
            <w:pPr>
              <w:pStyle w:val="TableText"/>
            </w:pPr>
            <w:r>
              <w:t>Reserves</w:t>
            </w:r>
          </w:p>
        </w:tc>
        <w:tc>
          <w:tcPr>
            <w:tcW w:w="750" w:type="pct"/>
          </w:tcPr>
          <w:p w14:paraId="2615DE62" w14:textId="77777777" w:rsidR="00486795" w:rsidRDefault="00486795" w:rsidP="00E964F6">
            <w:pPr>
              <w:pStyle w:val="TableText"/>
            </w:pPr>
            <w:r>
              <w:t>$ million</w:t>
            </w:r>
          </w:p>
        </w:tc>
        <w:tc>
          <w:tcPr>
            <w:tcW w:w="450" w:type="pct"/>
          </w:tcPr>
          <w:p w14:paraId="3001227B" w14:textId="77777777" w:rsidR="00486795" w:rsidRDefault="00486795" w:rsidP="00E964F6">
            <w:pPr>
              <w:pStyle w:val="TableText"/>
            </w:pPr>
            <w:r>
              <w:t>384</w:t>
            </w:r>
          </w:p>
        </w:tc>
        <w:tc>
          <w:tcPr>
            <w:tcW w:w="450" w:type="pct"/>
          </w:tcPr>
          <w:p w14:paraId="36948A19" w14:textId="77777777" w:rsidR="00486795" w:rsidRDefault="00486795" w:rsidP="00E964F6">
            <w:pPr>
              <w:pStyle w:val="TableText"/>
            </w:pPr>
            <w:r>
              <w:t>482</w:t>
            </w:r>
          </w:p>
        </w:tc>
        <w:tc>
          <w:tcPr>
            <w:tcW w:w="450" w:type="pct"/>
          </w:tcPr>
          <w:p w14:paraId="7B82AA82" w14:textId="77777777" w:rsidR="00486795" w:rsidRDefault="00486795" w:rsidP="00E964F6">
            <w:pPr>
              <w:pStyle w:val="TableText"/>
            </w:pPr>
            <w:r>
              <w:t>608</w:t>
            </w:r>
          </w:p>
        </w:tc>
        <w:tc>
          <w:tcPr>
            <w:tcW w:w="450" w:type="pct"/>
          </w:tcPr>
          <w:p w14:paraId="5ED43DBA" w14:textId="77777777" w:rsidR="00486795" w:rsidRDefault="00486795" w:rsidP="00E964F6">
            <w:pPr>
              <w:pStyle w:val="TableText"/>
            </w:pPr>
            <w:r>
              <w:t>754</w:t>
            </w:r>
          </w:p>
        </w:tc>
        <w:tc>
          <w:tcPr>
            <w:tcW w:w="450" w:type="pct"/>
          </w:tcPr>
          <w:p w14:paraId="0F50F632" w14:textId="77777777" w:rsidR="00486795" w:rsidRDefault="00486795" w:rsidP="00E964F6">
            <w:pPr>
              <w:pStyle w:val="TableText"/>
            </w:pPr>
            <w:r>
              <w:t>860</w:t>
            </w:r>
          </w:p>
        </w:tc>
        <w:tc>
          <w:tcPr>
            <w:tcW w:w="450" w:type="pct"/>
          </w:tcPr>
          <w:p w14:paraId="300185AD" w14:textId="77777777" w:rsidR="00486795" w:rsidRDefault="00486795" w:rsidP="00E964F6">
            <w:pPr>
              <w:pStyle w:val="TableText"/>
            </w:pPr>
            <w:r>
              <w:t>1026</w:t>
            </w:r>
          </w:p>
        </w:tc>
        <w:tc>
          <w:tcPr>
            <w:tcW w:w="450" w:type="pct"/>
          </w:tcPr>
          <w:p w14:paraId="45720973" w14:textId="77777777" w:rsidR="00486795" w:rsidRDefault="00486795" w:rsidP="00E964F6">
            <w:pPr>
              <w:pStyle w:val="TableText"/>
            </w:pPr>
            <w:r>
              <w:t>1374</w:t>
            </w:r>
          </w:p>
        </w:tc>
      </w:tr>
      <w:tr w:rsidR="00486795" w14:paraId="11CE4CE1" w14:textId="77777777" w:rsidTr="00E964F6">
        <w:trPr>
          <w:jc w:val="center"/>
        </w:trPr>
        <w:tc>
          <w:tcPr>
            <w:tcW w:w="1100" w:type="pct"/>
          </w:tcPr>
          <w:p w14:paraId="5BF37ED5" w14:textId="77777777" w:rsidR="00486795" w:rsidRDefault="00486795" w:rsidP="00E964F6">
            <w:pPr>
              <w:pStyle w:val="TableText"/>
            </w:pPr>
            <w:r>
              <w:t>Reserves – Import cover</w:t>
            </w:r>
          </w:p>
        </w:tc>
        <w:tc>
          <w:tcPr>
            <w:tcW w:w="750" w:type="pct"/>
          </w:tcPr>
          <w:p w14:paraId="2755AB84" w14:textId="77777777" w:rsidR="00486795" w:rsidRDefault="00486795" w:rsidP="00E964F6">
            <w:pPr>
              <w:pStyle w:val="TableText"/>
            </w:pPr>
            <w:r>
              <w:t>Months</w:t>
            </w:r>
          </w:p>
        </w:tc>
        <w:tc>
          <w:tcPr>
            <w:tcW w:w="450" w:type="pct"/>
          </w:tcPr>
          <w:p w14:paraId="1CA19D47" w14:textId="77777777" w:rsidR="00486795" w:rsidRDefault="00486795" w:rsidP="00E964F6">
            <w:pPr>
              <w:pStyle w:val="TableText"/>
            </w:pPr>
            <w:r>
              <w:t>3.7</w:t>
            </w:r>
          </w:p>
        </w:tc>
        <w:tc>
          <w:tcPr>
            <w:tcW w:w="450" w:type="pct"/>
          </w:tcPr>
          <w:p w14:paraId="7F1B7AB7" w14:textId="77777777" w:rsidR="00486795" w:rsidRDefault="00486795" w:rsidP="00E964F6">
            <w:pPr>
              <w:pStyle w:val="TableText"/>
            </w:pPr>
            <w:r>
              <w:t>3.8</w:t>
            </w:r>
          </w:p>
        </w:tc>
        <w:tc>
          <w:tcPr>
            <w:tcW w:w="450" w:type="pct"/>
          </w:tcPr>
          <w:p w14:paraId="5C3FBB16" w14:textId="77777777" w:rsidR="00486795" w:rsidRDefault="00486795" w:rsidP="00E964F6">
            <w:pPr>
              <w:pStyle w:val="TableText"/>
            </w:pPr>
            <w:r>
              <w:t>4.2</w:t>
            </w:r>
          </w:p>
        </w:tc>
        <w:tc>
          <w:tcPr>
            <w:tcW w:w="450" w:type="pct"/>
          </w:tcPr>
          <w:p w14:paraId="13F91788" w14:textId="77777777" w:rsidR="00486795" w:rsidRDefault="00486795" w:rsidP="00E964F6">
            <w:pPr>
              <w:pStyle w:val="TableText"/>
            </w:pPr>
            <w:r>
              <w:t>4.3</w:t>
            </w:r>
          </w:p>
        </w:tc>
        <w:tc>
          <w:tcPr>
            <w:tcW w:w="450" w:type="pct"/>
          </w:tcPr>
          <w:p w14:paraId="56087C65" w14:textId="77777777" w:rsidR="00486795" w:rsidRDefault="00486795" w:rsidP="00E964F6">
            <w:pPr>
              <w:pStyle w:val="TableText"/>
            </w:pPr>
            <w:r>
              <w:t>4.3</w:t>
            </w:r>
          </w:p>
        </w:tc>
        <w:tc>
          <w:tcPr>
            <w:tcW w:w="450" w:type="pct"/>
          </w:tcPr>
          <w:p w14:paraId="1E990D2E" w14:textId="77777777" w:rsidR="00486795" w:rsidRDefault="00486795" w:rsidP="00E964F6">
            <w:pPr>
              <w:pStyle w:val="TableText"/>
            </w:pPr>
            <w:r>
              <w:t>4.7</w:t>
            </w:r>
          </w:p>
        </w:tc>
        <w:tc>
          <w:tcPr>
            <w:tcW w:w="450" w:type="pct"/>
          </w:tcPr>
          <w:p w14:paraId="709B530F" w14:textId="77777777" w:rsidR="00486795" w:rsidRDefault="00486795" w:rsidP="00E964F6">
            <w:pPr>
              <w:pStyle w:val="TableText"/>
            </w:pPr>
            <w:r>
              <w:t>5.2</w:t>
            </w:r>
          </w:p>
        </w:tc>
      </w:tr>
      <w:tr w:rsidR="00486795" w14:paraId="60C01CB2" w14:textId="77777777" w:rsidTr="00E964F6">
        <w:trPr>
          <w:jc w:val="center"/>
        </w:trPr>
        <w:tc>
          <w:tcPr>
            <w:tcW w:w="1100" w:type="pct"/>
          </w:tcPr>
          <w:p w14:paraId="326812E7" w14:textId="77777777" w:rsidR="00486795" w:rsidRDefault="00486795" w:rsidP="00E964F6">
            <w:pPr>
              <w:pStyle w:val="TableText"/>
            </w:pPr>
            <w:r>
              <w:t>Trade balance</w:t>
            </w:r>
          </w:p>
        </w:tc>
        <w:tc>
          <w:tcPr>
            <w:tcW w:w="750" w:type="pct"/>
          </w:tcPr>
          <w:p w14:paraId="5DAA067A" w14:textId="77777777" w:rsidR="00486795" w:rsidRDefault="00486795" w:rsidP="00E964F6">
            <w:pPr>
              <w:pStyle w:val="TableText"/>
            </w:pPr>
            <w:r>
              <w:t>% GDP</w:t>
            </w:r>
          </w:p>
        </w:tc>
        <w:tc>
          <w:tcPr>
            <w:tcW w:w="450" w:type="pct"/>
          </w:tcPr>
          <w:p w14:paraId="5EC75900" w14:textId="77777777" w:rsidR="00486795" w:rsidRDefault="00486795" w:rsidP="00E964F6">
            <w:pPr>
              <w:pStyle w:val="TableText"/>
            </w:pPr>
            <w:r>
              <w:t>-22.1</w:t>
            </w:r>
          </w:p>
        </w:tc>
        <w:tc>
          <w:tcPr>
            <w:tcW w:w="450" w:type="pct"/>
          </w:tcPr>
          <w:p w14:paraId="20AE374F" w14:textId="77777777" w:rsidR="00486795" w:rsidRDefault="00486795" w:rsidP="00E964F6">
            <w:pPr>
              <w:pStyle w:val="TableText"/>
            </w:pPr>
            <w:r>
              <w:t>-19.2</w:t>
            </w:r>
          </w:p>
        </w:tc>
        <w:tc>
          <w:tcPr>
            <w:tcW w:w="450" w:type="pct"/>
          </w:tcPr>
          <w:p w14:paraId="568C912A" w14:textId="77777777" w:rsidR="00486795" w:rsidRDefault="00486795" w:rsidP="00E964F6">
            <w:pPr>
              <w:pStyle w:val="TableText"/>
            </w:pPr>
            <w:r>
              <w:t>-22.2</w:t>
            </w:r>
          </w:p>
        </w:tc>
        <w:tc>
          <w:tcPr>
            <w:tcW w:w="450" w:type="pct"/>
          </w:tcPr>
          <w:p w14:paraId="69A9CC53" w14:textId="77777777" w:rsidR="00486795" w:rsidRDefault="00486795" w:rsidP="00E964F6">
            <w:pPr>
              <w:pStyle w:val="TableText"/>
            </w:pPr>
            <w:r>
              <w:t>-25.0</w:t>
            </w:r>
          </w:p>
        </w:tc>
        <w:tc>
          <w:tcPr>
            <w:tcW w:w="450" w:type="pct"/>
          </w:tcPr>
          <w:p w14:paraId="321084B7" w14:textId="77777777" w:rsidR="00486795" w:rsidRDefault="00486795" w:rsidP="00E964F6">
            <w:pPr>
              <w:pStyle w:val="TableText"/>
            </w:pPr>
            <w:r>
              <w:t>-25.7</w:t>
            </w:r>
          </w:p>
        </w:tc>
        <w:tc>
          <w:tcPr>
            <w:tcW w:w="450" w:type="pct"/>
          </w:tcPr>
          <w:p w14:paraId="3EC01DEC" w14:textId="77777777" w:rsidR="00486795" w:rsidRDefault="00486795" w:rsidP="00E964F6">
            <w:pPr>
              <w:pStyle w:val="TableText"/>
            </w:pPr>
            <w:r>
              <w:t>-21.9</w:t>
            </w:r>
          </w:p>
        </w:tc>
        <w:tc>
          <w:tcPr>
            <w:tcW w:w="450" w:type="pct"/>
          </w:tcPr>
          <w:p w14:paraId="6B48BE79" w14:textId="77777777" w:rsidR="00486795" w:rsidRDefault="00486795" w:rsidP="00E964F6">
            <w:pPr>
              <w:pStyle w:val="TableText"/>
            </w:pPr>
            <w:r>
              <w:t>-20.8</w:t>
            </w:r>
          </w:p>
        </w:tc>
      </w:tr>
      <w:tr w:rsidR="00486795" w14:paraId="7992ED08" w14:textId="77777777" w:rsidTr="00E964F6">
        <w:trPr>
          <w:jc w:val="center"/>
        </w:trPr>
        <w:tc>
          <w:tcPr>
            <w:tcW w:w="1100" w:type="pct"/>
          </w:tcPr>
          <w:p w14:paraId="4519B281" w14:textId="77777777" w:rsidR="00486795" w:rsidRDefault="00486795" w:rsidP="00E964F6">
            <w:pPr>
              <w:pStyle w:val="TableText"/>
            </w:pPr>
            <w:r>
              <w:t>Export growth rate</w:t>
            </w:r>
          </w:p>
        </w:tc>
        <w:tc>
          <w:tcPr>
            <w:tcW w:w="750" w:type="pct"/>
          </w:tcPr>
          <w:p w14:paraId="05E1D08A" w14:textId="77777777" w:rsidR="00486795" w:rsidRDefault="00486795" w:rsidP="00E964F6">
            <w:pPr>
              <w:pStyle w:val="TableText"/>
            </w:pPr>
            <w:r>
              <w:t>%</w:t>
            </w:r>
          </w:p>
        </w:tc>
        <w:tc>
          <w:tcPr>
            <w:tcW w:w="450" w:type="pct"/>
          </w:tcPr>
          <w:p w14:paraId="4309F129" w14:textId="77777777" w:rsidR="00486795" w:rsidRDefault="00486795" w:rsidP="00E964F6">
            <w:pPr>
              <w:pStyle w:val="TableText"/>
            </w:pPr>
            <w:r>
              <w:t>31.1</w:t>
            </w:r>
          </w:p>
        </w:tc>
        <w:tc>
          <w:tcPr>
            <w:tcW w:w="450" w:type="pct"/>
          </w:tcPr>
          <w:p w14:paraId="6F75801E" w14:textId="77777777" w:rsidR="00486795" w:rsidRDefault="00486795" w:rsidP="00E964F6">
            <w:pPr>
              <w:pStyle w:val="TableText"/>
            </w:pPr>
            <w:r>
              <w:t>32.3</w:t>
            </w:r>
          </w:p>
        </w:tc>
        <w:tc>
          <w:tcPr>
            <w:tcW w:w="450" w:type="pct"/>
          </w:tcPr>
          <w:p w14:paraId="09C0F105" w14:textId="77777777" w:rsidR="00486795" w:rsidRDefault="00486795" w:rsidP="00E964F6">
            <w:pPr>
              <w:pStyle w:val="TableText"/>
            </w:pPr>
            <w:r>
              <w:t>-7.2</w:t>
            </w:r>
          </w:p>
        </w:tc>
        <w:tc>
          <w:tcPr>
            <w:tcW w:w="450" w:type="pct"/>
          </w:tcPr>
          <w:p w14:paraId="49EAF281" w14:textId="77777777" w:rsidR="00486795" w:rsidRDefault="00486795" w:rsidP="00E964F6">
            <w:pPr>
              <w:pStyle w:val="TableText"/>
            </w:pPr>
            <w:r>
              <w:t>19.3</w:t>
            </w:r>
          </w:p>
        </w:tc>
        <w:tc>
          <w:tcPr>
            <w:tcW w:w="450" w:type="pct"/>
          </w:tcPr>
          <w:p w14:paraId="556626B7" w14:textId="77777777" w:rsidR="00486795" w:rsidRDefault="00486795" w:rsidP="00E964F6">
            <w:pPr>
              <w:pStyle w:val="TableText"/>
            </w:pPr>
            <w:r>
              <w:t>8.4</w:t>
            </w:r>
          </w:p>
        </w:tc>
        <w:tc>
          <w:tcPr>
            <w:tcW w:w="450" w:type="pct"/>
          </w:tcPr>
          <w:p w14:paraId="4AE80AE1" w14:textId="77777777" w:rsidR="00486795" w:rsidRDefault="00486795" w:rsidP="00E964F6">
            <w:pPr>
              <w:pStyle w:val="TableText"/>
            </w:pPr>
            <w:r>
              <w:t>35.4</w:t>
            </w:r>
          </w:p>
        </w:tc>
        <w:tc>
          <w:tcPr>
            <w:tcW w:w="450" w:type="pct"/>
          </w:tcPr>
          <w:p w14:paraId="42F62FC2" w14:textId="77777777" w:rsidR="00486795" w:rsidRDefault="00486795" w:rsidP="00E964F6">
            <w:pPr>
              <w:pStyle w:val="TableText"/>
            </w:pPr>
            <w:r>
              <w:t>35.0</w:t>
            </w:r>
          </w:p>
        </w:tc>
      </w:tr>
      <w:tr w:rsidR="00486795" w14:paraId="18752C5D" w14:textId="77777777" w:rsidTr="00E964F6">
        <w:trPr>
          <w:jc w:val="center"/>
        </w:trPr>
        <w:tc>
          <w:tcPr>
            <w:tcW w:w="1100" w:type="pct"/>
            <w:tcBorders>
              <w:top w:val="nil"/>
            </w:tcBorders>
          </w:tcPr>
          <w:p w14:paraId="149C37A8" w14:textId="77777777" w:rsidR="00486795" w:rsidRDefault="00486795" w:rsidP="00E964F6">
            <w:pPr>
              <w:pStyle w:val="TableText"/>
            </w:pPr>
            <w:r>
              <w:t>Import growth rate</w:t>
            </w:r>
          </w:p>
        </w:tc>
        <w:tc>
          <w:tcPr>
            <w:tcW w:w="750" w:type="pct"/>
            <w:tcBorders>
              <w:top w:val="nil"/>
            </w:tcBorders>
          </w:tcPr>
          <w:p w14:paraId="480FE34D" w14:textId="77777777" w:rsidR="00486795" w:rsidRDefault="00486795" w:rsidP="00E964F6">
            <w:pPr>
              <w:pStyle w:val="TableText"/>
            </w:pPr>
            <w:r>
              <w:t>%</w:t>
            </w:r>
          </w:p>
        </w:tc>
        <w:tc>
          <w:tcPr>
            <w:tcW w:w="450" w:type="pct"/>
            <w:tcBorders>
              <w:top w:val="nil"/>
            </w:tcBorders>
          </w:tcPr>
          <w:p w14:paraId="248FCE73" w14:textId="77777777" w:rsidR="00486795" w:rsidRDefault="00486795" w:rsidP="00E964F6">
            <w:pPr>
              <w:pStyle w:val="TableText"/>
            </w:pPr>
            <w:r>
              <w:t>17.0</w:t>
            </w:r>
          </w:p>
        </w:tc>
        <w:tc>
          <w:tcPr>
            <w:tcW w:w="450" w:type="pct"/>
            <w:tcBorders>
              <w:top w:val="nil"/>
            </w:tcBorders>
          </w:tcPr>
          <w:p w14:paraId="3BEFE493" w14:textId="77777777" w:rsidR="00486795" w:rsidRDefault="00486795" w:rsidP="00E964F6">
            <w:pPr>
              <w:pStyle w:val="TableText"/>
            </w:pPr>
            <w:r>
              <w:t>15.5</w:t>
            </w:r>
          </w:p>
        </w:tc>
        <w:tc>
          <w:tcPr>
            <w:tcW w:w="450" w:type="pct"/>
            <w:tcBorders>
              <w:top w:val="nil"/>
            </w:tcBorders>
          </w:tcPr>
          <w:p w14:paraId="7D20AA39" w14:textId="77777777" w:rsidR="00486795" w:rsidRDefault="00486795" w:rsidP="00E964F6">
            <w:pPr>
              <w:pStyle w:val="TableText"/>
            </w:pPr>
            <w:r>
              <w:t>14.8</w:t>
            </w:r>
          </w:p>
        </w:tc>
        <w:tc>
          <w:tcPr>
            <w:tcW w:w="450" w:type="pct"/>
            <w:tcBorders>
              <w:top w:val="nil"/>
            </w:tcBorders>
          </w:tcPr>
          <w:p w14:paraId="692F5034" w14:textId="77777777" w:rsidR="00486795" w:rsidRDefault="00486795" w:rsidP="00E964F6">
            <w:pPr>
              <w:pStyle w:val="TableText"/>
            </w:pPr>
            <w:r>
              <w:t>23.7</w:t>
            </w:r>
          </w:p>
        </w:tc>
        <w:tc>
          <w:tcPr>
            <w:tcW w:w="450" w:type="pct"/>
            <w:tcBorders>
              <w:top w:val="nil"/>
            </w:tcBorders>
          </w:tcPr>
          <w:p w14:paraId="5724D2B3" w14:textId="77777777" w:rsidR="00486795" w:rsidRDefault="00486795" w:rsidP="00E964F6">
            <w:pPr>
              <w:pStyle w:val="TableText"/>
            </w:pPr>
            <w:r>
              <w:t>11.6</w:t>
            </w:r>
          </w:p>
        </w:tc>
        <w:tc>
          <w:tcPr>
            <w:tcW w:w="450" w:type="pct"/>
            <w:tcBorders>
              <w:top w:val="nil"/>
            </w:tcBorders>
          </w:tcPr>
          <w:p w14:paraId="3AB407E0" w14:textId="77777777" w:rsidR="00486795" w:rsidRDefault="00486795" w:rsidP="00E964F6">
            <w:pPr>
              <w:pStyle w:val="TableText"/>
            </w:pPr>
            <w:r>
              <w:t>20.1</w:t>
            </w:r>
          </w:p>
        </w:tc>
        <w:tc>
          <w:tcPr>
            <w:tcW w:w="450" w:type="pct"/>
            <w:tcBorders>
              <w:top w:val="nil"/>
            </w:tcBorders>
          </w:tcPr>
          <w:p w14:paraId="279EF6F7" w14:textId="77777777" w:rsidR="00486795" w:rsidRDefault="00486795" w:rsidP="00E964F6">
            <w:pPr>
              <w:pStyle w:val="TableText"/>
            </w:pPr>
            <w:r>
              <w:t>22.4</w:t>
            </w:r>
          </w:p>
        </w:tc>
      </w:tr>
    </w:tbl>
    <w:p w14:paraId="62339BF6" w14:textId="77777777" w:rsidR="00486795" w:rsidRDefault="00486795" w:rsidP="00486795">
      <w:pPr>
        <w:pStyle w:val="TableFootnote"/>
        <w:rPr>
          <w:lang w:eastAsia="en-US"/>
        </w:rPr>
      </w:pPr>
      <w:r>
        <w:rPr>
          <w:lang w:eastAsia="en-US"/>
        </w:rPr>
        <w:t>Source: Ministry of Finance, Macroeconomic Department</w:t>
      </w:r>
    </w:p>
    <w:p w14:paraId="70F324B3" w14:textId="77777777" w:rsidR="00486795" w:rsidRDefault="00486795" w:rsidP="00486795">
      <w:pPr>
        <w:pStyle w:val="Heading1"/>
        <w:keepNext/>
        <w:numPr>
          <w:ilvl w:val="1"/>
          <w:numId w:val="0"/>
        </w:numPr>
        <w:tabs>
          <w:tab w:val="num" w:pos="576"/>
        </w:tabs>
        <w:spacing w:before="360" w:after="240"/>
        <w:ind w:left="576" w:hanging="576"/>
        <w:contextualSpacing w:val="0"/>
      </w:pPr>
      <w:r>
        <w:t>Economic growth</w:t>
      </w:r>
    </w:p>
    <w:p w14:paraId="3AD3DC4A" w14:textId="77777777" w:rsidR="00486795" w:rsidRDefault="00486795" w:rsidP="00486795">
      <w:pPr>
        <w:pStyle w:val="BodyText"/>
        <w:rPr>
          <w:lang w:eastAsia="en-US"/>
        </w:rPr>
      </w:pPr>
      <w:r>
        <w:rPr>
          <w:lang w:eastAsia="en-US"/>
        </w:rPr>
        <w:t xml:space="preserve">Economic growth is the main factor in reducing poverty and stabilising Albania’s macro-economy. </w:t>
      </w:r>
      <w:r w:rsidR="002B0530">
        <w:fldChar w:fldCharType="begin"/>
      </w:r>
      <w:r w:rsidR="002B0530">
        <w:instrText xml:space="preserve"> REF _Ref102274262 \r  \* MERGEFORMAT </w:instrText>
      </w:r>
      <w:r w:rsidR="002B0530">
        <w:fldChar w:fldCharType="separate"/>
      </w:r>
      <w:r>
        <w:rPr>
          <w:lang w:eastAsia="en-US"/>
        </w:rPr>
        <w:t>Figure 2.1</w:t>
      </w:r>
      <w:r w:rsidR="002B0530">
        <w:rPr>
          <w:lang w:eastAsia="en-US"/>
        </w:rPr>
        <w:fldChar w:fldCharType="end"/>
      </w:r>
      <w:r>
        <w:rPr>
          <w:lang w:eastAsia="en-US"/>
        </w:rPr>
        <w:t xml:space="preserve"> below presents real growth over the past 7 years, showing that Albania has consistently managed to achieve high economic growth since 1998. During 2004 real GDP growth was estimated to be 6%.</w:t>
      </w:r>
    </w:p>
    <w:p w14:paraId="6CB6E70F" w14:textId="77777777" w:rsidR="00486795" w:rsidRDefault="00486795" w:rsidP="00486795">
      <w:pPr>
        <w:pStyle w:val="Figure"/>
        <w:numPr>
          <w:ilvl w:val="5"/>
          <w:numId w:val="0"/>
        </w:numPr>
        <w:tabs>
          <w:tab w:val="num" w:pos="1152"/>
        </w:tabs>
        <w:ind w:left="1152" w:hanging="1152"/>
        <w:jc w:val="both"/>
      </w:pPr>
      <w:bookmarkStart w:id="3" w:name="_Toc109495256"/>
      <w:bookmarkStart w:id="4" w:name="_Ref102274262"/>
      <w:r>
        <w:t>Economic growth in Albania and selected countries, 1998-2004</w:t>
      </w:r>
      <w:bookmarkEnd w:id="3"/>
    </w:p>
    <w:bookmarkEnd w:id="4"/>
    <w:p w14:paraId="3FCB2508" w14:textId="77777777" w:rsidR="00486795" w:rsidRDefault="00486795" w:rsidP="00486795">
      <w:pPr>
        <w:pStyle w:val="BodyText"/>
        <w:rPr>
          <w:lang w:eastAsia="en-US"/>
        </w:rPr>
      </w:pPr>
      <w:r>
        <w:rPr>
          <w:noProof/>
          <w:lang w:val="en-US" w:eastAsia="en-US"/>
        </w:rPr>
        <w:drawing>
          <wp:inline distT="0" distB="0" distL="0" distR="0" wp14:anchorId="2607C8D6" wp14:editId="13B07430">
            <wp:extent cx="5497195" cy="2424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7195" cy="2424430"/>
                    </a:xfrm>
                    <a:prstGeom prst="rect">
                      <a:avLst/>
                    </a:prstGeom>
                    <a:noFill/>
                    <a:ln w="9525">
                      <a:noFill/>
                      <a:miter lim="800000"/>
                      <a:headEnd/>
                      <a:tailEnd/>
                    </a:ln>
                  </pic:spPr>
                </pic:pic>
              </a:graphicData>
            </a:graphic>
          </wp:inline>
        </w:drawing>
      </w:r>
    </w:p>
    <w:p w14:paraId="6F588409" w14:textId="77777777" w:rsidR="00486795" w:rsidRDefault="00486795" w:rsidP="00486795">
      <w:pPr>
        <w:pStyle w:val="TableFootnote"/>
        <w:jc w:val="both"/>
        <w:rPr>
          <w:lang w:eastAsia="en-US"/>
        </w:rPr>
      </w:pPr>
      <w:r>
        <w:rPr>
          <w:lang w:eastAsia="en-US"/>
        </w:rPr>
        <w:t>Source: IMF Country reports; the figures for 2004 are projections</w:t>
      </w:r>
    </w:p>
    <w:p w14:paraId="31CE4F32" w14:textId="77777777" w:rsidR="00486795" w:rsidRDefault="00486795" w:rsidP="00486795">
      <w:pPr>
        <w:pStyle w:val="BodyText"/>
        <w:rPr>
          <w:lang w:eastAsia="en-US"/>
        </w:rPr>
      </w:pPr>
      <w:r>
        <w:rPr>
          <w:lang w:eastAsia="en-US"/>
        </w:rPr>
        <w:t xml:space="preserve">The combination of high growth and a decline in the resident population of Albania (by about 3.4% since the year 2000), has led to a doubling of per capita incomes, in </w:t>
      </w:r>
      <w:proofErr w:type="spellStart"/>
      <w:r>
        <w:rPr>
          <w:lang w:eastAsia="en-US"/>
        </w:rPr>
        <w:t>Lek</w:t>
      </w:r>
      <w:proofErr w:type="spellEnd"/>
      <w:r>
        <w:rPr>
          <w:lang w:eastAsia="en-US"/>
        </w:rPr>
        <w:t xml:space="preserve">, over the last 7 years. Nevertheless, GDP per capita still remains very low compared with other countries and its increase constitutes one of the strongest challenges for the future. Real increase in the GDP for the period 1998-2004 in Albania and neighbouring countries is given in </w:t>
      </w:r>
      <w:r w:rsidR="002B0530">
        <w:fldChar w:fldCharType="begin"/>
      </w:r>
      <w:r w:rsidR="002B0530">
        <w:instrText xml:space="preserve"> REF _Ref102274292 \r  \* MERGEFORMAT </w:instrText>
      </w:r>
      <w:r w:rsidR="002B0530">
        <w:fldChar w:fldCharType="separate"/>
      </w:r>
      <w:r>
        <w:rPr>
          <w:lang w:eastAsia="en-US"/>
        </w:rPr>
        <w:t>Table 2.2</w:t>
      </w:r>
      <w:r w:rsidR="002B0530">
        <w:rPr>
          <w:lang w:eastAsia="en-US"/>
        </w:rPr>
        <w:fldChar w:fldCharType="end"/>
      </w:r>
      <w:r>
        <w:rPr>
          <w:lang w:eastAsia="en-US"/>
        </w:rPr>
        <w:t>.</w:t>
      </w:r>
    </w:p>
    <w:p w14:paraId="52C109CE" w14:textId="77777777" w:rsidR="00486795" w:rsidRDefault="00486795" w:rsidP="00486795">
      <w:pPr>
        <w:pStyle w:val="BodyText"/>
        <w:rPr>
          <w:lang w:eastAsia="en-US"/>
        </w:rPr>
      </w:pPr>
      <w:r>
        <w:rPr>
          <w:lang w:eastAsia="en-US"/>
        </w:rPr>
        <w:t xml:space="preserve">The </w:t>
      </w:r>
      <w:proofErr w:type="spellStart"/>
      <w:r>
        <w:rPr>
          <w:lang w:eastAsia="en-US"/>
        </w:rPr>
        <w:t>sectoral</w:t>
      </w:r>
      <w:proofErr w:type="spellEnd"/>
      <w:r>
        <w:rPr>
          <w:lang w:eastAsia="en-US"/>
        </w:rPr>
        <w:t xml:space="preserve"> composition of growth in 2004 has followed a similar pattern to the previous year, as shown in </w:t>
      </w:r>
      <w:r w:rsidR="002B0530">
        <w:fldChar w:fldCharType="begin"/>
      </w:r>
      <w:r w:rsidR="002B0530">
        <w:instrText xml:space="preserve"> REF _Ref102274402 \r  \* MERGEFORMAT </w:instrText>
      </w:r>
      <w:r w:rsidR="002B0530">
        <w:fldChar w:fldCharType="separate"/>
      </w:r>
      <w:r>
        <w:rPr>
          <w:lang w:eastAsia="en-US"/>
        </w:rPr>
        <w:t>Table 2.2</w:t>
      </w:r>
      <w:r w:rsidR="002B0530">
        <w:rPr>
          <w:lang w:eastAsia="en-US"/>
        </w:rPr>
        <w:fldChar w:fldCharType="end"/>
      </w:r>
      <w:r>
        <w:rPr>
          <w:lang w:eastAsia="en-US"/>
        </w:rPr>
        <w:t>. Construction and transport have continued to grow strongly, while industry and agriculture are growing at a lower rate than the national average.</w:t>
      </w:r>
    </w:p>
    <w:p w14:paraId="52A1F91B" w14:textId="77777777" w:rsidR="00486795" w:rsidRDefault="00486795" w:rsidP="00486795">
      <w:pPr>
        <w:pStyle w:val="Table"/>
        <w:numPr>
          <w:ilvl w:val="4"/>
          <w:numId w:val="0"/>
        </w:numPr>
        <w:tabs>
          <w:tab w:val="num" w:pos="1008"/>
        </w:tabs>
        <w:ind w:left="1008" w:hanging="1008"/>
      </w:pPr>
      <w:bookmarkStart w:id="5" w:name="_Ref102274402"/>
      <w:bookmarkStart w:id="6" w:name="_Toc109495228"/>
      <w:bookmarkStart w:id="7" w:name="_Ref102274292"/>
      <w:proofErr w:type="spellStart"/>
      <w:r>
        <w:t>Sectoral</w:t>
      </w:r>
      <w:proofErr w:type="spellEnd"/>
      <w:r>
        <w:t xml:space="preserve"> structure and growth</w:t>
      </w:r>
      <w:bookmarkEnd w:id="5"/>
      <w:bookmarkEnd w:id="6"/>
    </w:p>
    <w:tbl>
      <w:tblPr>
        <w:tblW w:w="9639" w:type="dxa"/>
        <w:jc w:val="center"/>
        <w:tblBorders>
          <w:top w:val="single" w:sz="12" w:space="0" w:color="000000"/>
          <w:bottom w:val="single" w:sz="12" w:space="0" w:color="000000"/>
        </w:tblBorders>
        <w:tblLook w:val="01E0" w:firstRow="1" w:lastRow="1" w:firstColumn="1" w:lastColumn="1" w:noHBand="0" w:noVBand="0"/>
      </w:tblPr>
      <w:tblGrid>
        <w:gridCol w:w="3485"/>
        <w:gridCol w:w="1538"/>
        <w:gridCol w:w="1539"/>
        <w:gridCol w:w="1538"/>
        <w:gridCol w:w="1539"/>
      </w:tblGrid>
      <w:tr w:rsidR="00486795" w14:paraId="7371B26D" w14:textId="77777777" w:rsidTr="00E964F6">
        <w:trPr>
          <w:jc w:val="center"/>
        </w:trPr>
        <w:tc>
          <w:tcPr>
            <w:tcW w:w="3485" w:type="dxa"/>
            <w:tcBorders>
              <w:top w:val="single" w:sz="12" w:space="0" w:color="000000"/>
              <w:bottom w:val="nil"/>
            </w:tcBorders>
          </w:tcPr>
          <w:p w14:paraId="2ADE4F69" w14:textId="77777777" w:rsidR="00486795" w:rsidRDefault="00486795" w:rsidP="00E964F6">
            <w:pPr>
              <w:pStyle w:val="TableText"/>
            </w:pPr>
          </w:p>
        </w:tc>
        <w:tc>
          <w:tcPr>
            <w:tcW w:w="3077" w:type="dxa"/>
            <w:gridSpan w:val="2"/>
            <w:tcBorders>
              <w:top w:val="single" w:sz="12" w:space="0" w:color="000000"/>
              <w:bottom w:val="nil"/>
            </w:tcBorders>
          </w:tcPr>
          <w:p w14:paraId="2D993760" w14:textId="77777777" w:rsidR="00486795" w:rsidRDefault="00486795" w:rsidP="00E964F6">
            <w:pPr>
              <w:pStyle w:val="TableText"/>
            </w:pPr>
            <w:r>
              <w:t>Structure of GDP (%)</w:t>
            </w:r>
          </w:p>
        </w:tc>
        <w:tc>
          <w:tcPr>
            <w:tcW w:w="3077" w:type="dxa"/>
            <w:gridSpan w:val="2"/>
            <w:tcBorders>
              <w:top w:val="single" w:sz="12" w:space="0" w:color="000000"/>
              <w:left w:val="nil"/>
              <w:bottom w:val="nil"/>
            </w:tcBorders>
          </w:tcPr>
          <w:p w14:paraId="69EE3B9C" w14:textId="77777777" w:rsidR="00486795" w:rsidRDefault="00486795" w:rsidP="00E964F6">
            <w:pPr>
              <w:pStyle w:val="TableText"/>
            </w:pPr>
            <w:r>
              <w:t>Real growth rate (%)</w:t>
            </w:r>
          </w:p>
        </w:tc>
      </w:tr>
      <w:bookmarkEnd w:id="7"/>
      <w:tr w:rsidR="00486795" w14:paraId="01487FFF" w14:textId="77777777" w:rsidTr="00E964F6">
        <w:trPr>
          <w:jc w:val="center"/>
        </w:trPr>
        <w:tc>
          <w:tcPr>
            <w:tcW w:w="3485" w:type="dxa"/>
            <w:tcBorders>
              <w:top w:val="nil"/>
              <w:bottom w:val="single" w:sz="12" w:space="0" w:color="000000"/>
            </w:tcBorders>
          </w:tcPr>
          <w:p w14:paraId="6BD6E8DF" w14:textId="77777777" w:rsidR="00486795" w:rsidRDefault="00486795" w:rsidP="00E964F6">
            <w:pPr>
              <w:pStyle w:val="TableText"/>
            </w:pPr>
          </w:p>
        </w:tc>
        <w:tc>
          <w:tcPr>
            <w:tcW w:w="1538" w:type="dxa"/>
            <w:tcBorders>
              <w:top w:val="nil"/>
              <w:bottom w:val="single" w:sz="12" w:space="0" w:color="000000"/>
            </w:tcBorders>
          </w:tcPr>
          <w:p w14:paraId="2EB094CB" w14:textId="77777777" w:rsidR="00486795" w:rsidRDefault="00486795" w:rsidP="00E964F6">
            <w:pPr>
              <w:pStyle w:val="TableText"/>
            </w:pPr>
            <w:r>
              <w:t>2003</w:t>
            </w:r>
          </w:p>
        </w:tc>
        <w:tc>
          <w:tcPr>
            <w:tcW w:w="1539" w:type="dxa"/>
            <w:tcBorders>
              <w:top w:val="nil"/>
              <w:bottom w:val="single" w:sz="12" w:space="0" w:color="000000"/>
              <w:right w:val="nil"/>
            </w:tcBorders>
          </w:tcPr>
          <w:p w14:paraId="47490B3C" w14:textId="77777777" w:rsidR="00486795" w:rsidRDefault="00486795" w:rsidP="00E964F6">
            <w:pPr>
              <w:pStyle w:val="TableText"/>
            </w:pPr>
            <w:r>
              <w:t>2004</w:t>
            </w:r>
          </w:p>
        </w:tc>
        <w:tc>
          <w:tcPr>
            <w:tcW w:w="1538" w:type="dxa"/>
            <w:tcBorders>
              <w:top w:val="nil"/>
              <w:left w:val="nil"/>
              <w:bottom w:val="single" w:sz="12" w:space="0" w:color="000000"/>
            </w:tcBorders>
          </w:tcPr>
          <w:p w14:paraId="5840CE51" w14:textId="77777777" w:rsidR="00486795" w:rsidRDefault="00486795" w:rsidP="00E964F6">
            <w:pPr>
              <w:pStyle w:val="TableText"/>
            </w:pPr>
            <w:r>
              <w:t>2003</w:t>
            </w:r>
          </w:p>
        </w:tc>
        <w:tc>
          <w:tcPr>
            <w:tcW w:w="1539" w:type="dxa"/>
            <w:tcBorders>
              <w:top w:val="nil"/>
              <w:bottom w:val="single" w:sz="12" w:space="0" w:color="000000"/>
            </w:tcBorders>
          </w:tcPr>
          <w:p w14:paraId="4937EB3E" w14:textId="77777777" w:rsidR="00486795" w:rsidRDefault="00486795" w:rsidP="00E964F6">
            <w:pPr>
              <w:pStyle w:val="TableText"/>
            </w:pPr>
            <w:r>
              <w:t>2004</w:t>
            </w:r>
          </w:p>
        </w:tc>
      </w:tr>
      <w:tr w:rsidR="00486795" w14:paraId="67EA9467" w14:textId="77777777" w:rsidTr="00E964F6">
        <w:trPr>
          <w:jc w:val="center"/>
        </w:trPr>
        <w:tc>
          <w:tcPr>
            <w:tcW w:w="3485" w:type="dxa"/>
            <w:tcBorders>
              <w:top w:val="single" w:sz="12" w:space="0" w:color="000000"/>
            </w:tcBorders>
          </w:tcPr>
          <w:p w14:paraId="5562FE47" w14:textId="77777777" w:rsidR="00486795" w:rsidRDefault="00486795" w:rsidP="00E964F6">
            <w:pPr>
              <w:pStyle w:val="TableText"/>
            </w:pPr>
            <w:r>
              <w:lastRenderedPageBreak/>
              <w:t>Total</w:t>
            </w:r>
          </w:p>
        </w:tc>
        <w:tc>
          <w:tcPr>
            <w:tcW w:w="1538" w:type="dxa"/>
            <w:tcBorders>
              <w:top w:val="single" w:sz="12" w:space="0" w:color="000000"/>
            </w:tcBorders>
          </w:tcPr>
          <w:p w14:paraId="51C1BCD0" w14:textId="77777777" w:rsidR="00486795" w:rsidRDefault="00486795" w:rsidP="00E964F6">
            <w:pPr>
              <w:pStyle w:val="TableText"/>
            </w:pPr>
            <w:r>
              <w:t>100</w:t>
            </w:r>
          </w:p>
        </w:tc>
        <w:tc>
          <w:tcPr>
            <w:tcW w:w="1539" w:type="dxa"/>
            <w:tcBorders>
              <w:top w:val="single" w:sz="12" w:space="0" w:color="000000"/>
              <w:right w:val="nil"/>
            </w:tcBorders>
          </w:tcPr>
          <w:p w14:paraId="107566C2" w14:textId="77777777" w:rsidR="00486795" w:rsidRDefault="00486795" w:rsidP="00E964F6">
            <w:pPr>
              <w:pStyle w:val="TableText"/>
            </w:pPr>
            <w:r>
              <w:t>100</w:t>
            </w:r>
          </w:p>
        </w:tc>
        <w:tc>
          <w:tcPr>
            <w:tcW w:w="1538" w:type="dxa"/>
            <w:tcBorders>
              <w:top w:val="single" w:sz="12" w:space="0" w:color="000000"/>
              <w:left w:val="nil"/>
            </w:tcBorders>
          </w:tcPr>
          <w:p w14:paraId="02F3E93C" w14:textId="77777777" w:rsidR="00486795" w:rsidRDefault="00486795" w:rsidP="00E964F6">
            <w:pPr>
              <w:pStyle w:val="TableText"/>
            </w:pPr>
            <w:r>
              <w:t>6.0</w:t>
            </w:r>
          </w:p>
        </w:tc>
        <w:tc>
          <w:tcPr>
            <w:tcW w:w="1539" w:type="dxa"/>
            <w:tcBorders>
              <w:top w:val="single" w:sz="12" w:space="0" w:color="000000"/>
            </w:tcBorders>
          </w:tcPr>
          <w:p w14:paraId="62476495" w14:textId="77777777" w:rsidR="00486795" w:rsidRDefault="00486795" w:rsidP="00E964F6">
            <w:pPr>
              <w:pStyle w:val="TableText"/>
            </w:pPr>
            <w:r>
              <w:t>6.0</w:t>
            </w:r>
          </w:p>
        </w:tc>
      </w:tr>
      <w:tr w:rsidR="00486795" w14:paraId="19BE1BBE" w14:textId="77777777" w:rsidTr="00E964F6">
        <w:trPr>
          <w:jc w:val="center"/>
        </w:trPr>
        <w:tc>
          <w:tcPr>
            <w:tcW w:w="3485" w:type="dxa"/>
          </w:tcPr>
          <w:p w14:paraId="2D4C0FF5" w14:textId="77777777" w:rsidR="00486795" w:rsidRDefault="00486795" w:rsidP="00E964F6">
            <w:pPr>
              <w:pStyle w:val="TableText"/>
            </w:pPr>
            <w:r>
              <w:t>Industry</w:t>
            </w:r>
          </w:p>
        </w:tc>
        <w:tc>
          <w:tcPr>
            <w:tcW w:w="1538" w:type="dxa"/>
          </w:tcPr>
          <w:p w14:paraId="5A0CE9FE" w14:textId="77777777" w:rsidR="00486795" w:rsidRDefault="00486795" w:rsidP="00E964F6">
            <w:pPr>
              <w:pStyle w:val="TableText"/>
            </w:pPr>
            <w:r>
              <w:t>10.2</w:t>
            </w:r>
          </w:p>
        </w:tc>
        <w:tc>
          <w:tcPr>
            <w:tcW w:w="1539" w:type="dxa"/>
            <w:tcBorders>
              <w:right w:val="nil"/>
            </w:tcBorders>
          </w:tcPr>
          <w:p w14:paraId="3C7993C2" w14:textId="77777777" w:rsidR="00486795" w:rsidRDefault="00486795" w:rsidP="00E964F6">
            <w:pPr>
              <w:pStyle w:val="TableText"/>
            </w:pPr>
            <w:r>
              <w:t>9.9</w:t>
            </w:r>
          </w:p>
        </w:tc>
        <w:tc>
          <w:tcPr>
            <w:tcW w:w="1538" w:type="dxa"/>
            <w:tcBorders>
              <w:left w:val="nil"/>
            </w:tcBorders>
          </w:tcPr>
          <w:p w14:paraId="1F265531" w14:textId="77777777" w:rsidR="00486795" w:rsidRDefault="00486795" w:rsidP="00E964F6">
            <w:pPr>
              <w:pStyle w:val="TableText"/>
            </w:pPr>
            <w:r>
              <w:t>2.7</w:t>
            </w:r>
          </w:p>
        </w:tc>
        <w:tc>
          <w:tcPr>
            <w:tcW w:w="1539" w:type="dxa"/>
          </w:tcPr>
          <w:p w14:paraId="1C9EF8DE" w14:textId="77777777" w:rsidR="00486795" w:rsidRDefault="00486795" w:rsidP="00E964F6">
            <w:pPr>
              <w:pStyle w:val="TableText"/>
            </w:pPr>
            <w:r>
              <w:t>3.1</w:t>
            </w:r>
          </w:p>
        </w:tc>
      </w:tr>
      <w:tr w:rsidR="00486795" w14:paraId="02ACF351" w14:textId="77777777" w:rsidTr="00E964F6">
        <w:trPr>
          <w:jc w:val="center"/>
        </w:trPr>
        <w:tc>
          <w:tcPr>
            <w:tcW w:w="3485" w:type="dxa"/>
          </w:tcPr>
          <w:p w14:paraId="2D3AF941" w14:textId="77777777" w:rsidR="00486795" w:rsidRDefault="00486795" w:rsidP="00E964F6">
            <w:pPr>
              <w:pStyle w:val="TableText"/>
            </w:pPr>
            <w:r>
              <w:t>Agriculture</w:t>
            </w:r>
          </w:p>
        </w:tc>
        <w:tc>
          <w:tcPr>
            <w:tcW w:w="1538" w:type="dxa"/>
          </w:tcPr>
          <w:p w14:paraId="4A78F30D" w14:textId="77777777" w:rsidR="00486795" w:rsidRDefault="00486795" w:rsidP="00E964F6">
            <w:pPr>
              <w:pStyle w:val="TableText"/>
            </w:pPr>
            <w:r>
              <w:t>24.7</w:t>
            </w:r>
          </w:p>
        </w:tc>
        <w:tc>
          <w:tcPr>
            <w:tcW w:w="1539" w:type="dxa"/>
            <w:tcBorders>
              <w:right w:val="nil"/>
            </w:tcBorders>
          </w:tcPr>
          <w:p w14:paraId="1D111BA8" w14:textId="77777777" w:rsidR="00486795" w:rsidRDefault="00486795" w:rsidP="00E964F6">
            <w:pPr>
              <w:pStyle w:val="TableText"/>
            </w:pPr>
            <w:r>
              <w:t>24.0</w:t>
            </w:r>
          </w:p>
        </w:tc>
        <w:tc>
          <w:tcPr>
            <w:tcW w:w="1538" w:type="dxa"/>
            <w:tcBorders>
              <w:left w:val="nil"/>
            </w:tcBorders>
          </w:tcPr>
          <w:p w14:paraId="345EBF05" w14:textId="77777777" w:rsidR="00486795" w:rsidRDefault="00486795" w:rsidP="00E964F6">
            <w:pPr>
              <w:pStyle w:val="TableText"/>
            </w:pPr>
            <w:r>
              <w:t>3.0</w:t>
            </w:r>
          </w:p>
        </w:tc>
        <w:tc>
          <w:tcPr>
            <w:tcW w:w="1539" w:type="dxa"/>
          </w:tcPr>
          <w:p w14:paraId="31D2E521" w14:textId="77777777" w:rsidR="00486795" w:rsidRDefault="00486795" w:rsidP="00E964F6">
            <w:pPr>
              <w:pStyle w:val="TableText"/>
            </w:pPr>
            <w:r>
              <w:t>3.0</w:t>
            </w:r>
          </w:p>
        </w:tc>
      </w:tr>
      <w:tr w:rsidR="00486795" w14:paraId="2B80D395" w14:textId="77777777" w:rsidTr="00E964F6">
        <w:trPr>
          <w:jc w:val="center"/>
        </w:trPr>
        <w:tc>
          <w:tcPr>
            <w:tcW w:w="3485" w:type="dxa"/>
          </w:tcPr>
          <w:p w14:paraId="3FFF131D" w14:textId="77777777" w:rsidR="00486795" w:rsidRDefault="00486795" w:rsidP="00E964F6">
            <w:pPr>
              <w:pStyle w:val="TableText"/>
            </w:pPr>
            <w:r>
              <w:t>Construction</w:t>
            </w:r>
          </w:p>
        </w:tc>
        <w:tc>
          <w:tcPr>
            <w:tcW w:w="1538" w:type="dxa"/>
          </w:tcPr>
          <w:p w14:paraId="378D0B37" w14:textId="77777777" w:rsidR="00486795" w:rsidRDefault="00486795" w:rsidP="00E964F6">
            <w:pPr>
              <w:pStyle w:val="TableText"/>
            </w:pPr>
            <w:r>
              <w:t>9.1</w:t>
            </w:r>
          </w:p>
        </w:tc>
        <w:tc>
          <w:tcPr>
            <w:tcW w:w="1539" w:type="dxa"/>
            <w:tcBorders>
              <w:right w:val="nil"/>
            </w:tcBorders>
          </w:tcPr>
          <w:p w14:paraId="38F418FE" w14:textId="77777777" w:rsidR="00486795" w:rsidRDefault="00486795" w:rsidP="00E964F6">
            <w:pPr>
              <w:pStyle w:val="TableText"/>
            </w:pPr>
            <w:r>
              <w:t>9.5</w:t>
            </w:r>
          </w:p>
        </w:tc>
        <w:tc>
          <w:tcPr>
            <w:tcW w:w="1538" w:type="dxa"/>
            <w:tcBorders>
              <w:left w:val="nil"/>
            </w:tcBorders>
          </w:tcPr>
          <w:p w14:paraId="076FA437" w14:textId="77777777" w:rsidR="00486795" w:rsidRDefault="00486795" w:rsidP="00E964F6">
            <w:pPr>
              <w:pStyle w:val="TableText"/>
            </w:pPr>
            <w:r>
              <w:t>11.3</w:t>
            </w:r>
          </w:p>
        </w:tc>
        <w:tc>
          <w:tcPr>
            <w:tcW w:w="1539" w:type="dxa"/>
          </w:tcPr>
          <w:p w14:paraId="60FB8096" w14:textId="77777777" w:rsidR="00486795" w:rsidRDefault="00486795" w:rsidP="00E964F6">
            <w:pPr>
              <w:pStyle w:val="TableText"/>
            </w:pPr>
            <w:r>
              <w:t>10.6</w:t>
            </w:r>
          </w:p>
        </w:tc>
      </w:tr>
      <w:tr w:rsidR="00486795" w14:paraId="55465300" w14:textId="77777777" w:rsidTr="00E964F6">
        <w:trPr>
          <w:jc w:val="center"/>
        </w:trPr>
        <w:tc>
          <w:tcPr>
            <w:tcW w:w="3485" w:type="dxa"/>
          </w:tcPr>
          <w:p w14:paraId="0841D3D9" w14:textId="77777777" w:rsidR="00486795" w:rsidRDefault="00486795" w:rsidP="00E964F6">
            <w:pPr>
              <w:pStyle w:val="TableText"/>
            </w:pPr>
            <w:r>
              <w:t>Transport</w:t>
            </w:r>
          </w:p>
        </w:tc>
        <w:tc>
          <w:tcPr>
            <w:tcW w:w="1538" w:type="dxa"/>
          </w:tcPr>
          <w:p w14:paraId="6068E1B4" w14:textId="77777777" w:rsidR="00486795" w:rsidRDefault="00486795" w:rsidP="00E964F6">
            <w:pPr>
              <w:pStyle w:val="TableText"/>
            </w:pPr>
            <w:r>
              <w:t>10.0</w:t>
            </w:r>
          </w:p>
        </w:tc>
        <w:tc>
          <w:tcPr>
            <w:tcW w:w="1539" w:type="dxa"/>
            <w:tcBorders>
              <w:right w:val="nil"/>
            </w:tcBorders>
          </w:tcPr>
          <w:p w14:paraId="32A7A73C" w14:textId="77777777" w:rsidR="00486795" w:rsidRDefault="00486795" w:rsidP="00E964F6">
            <w:pPr>
              <w:pStyle w:val="TableText"/>
            </w:pPr>
            <w:r>
              <w:t>10.4</w:t>
            </w:r>
          </w:p>
        </w:tc>
        <w:tc>
          <w:tcPr>
            <w:tcW w:w="1538" w:type="dxa"/>
            <w:tcBorders>
              <w:left w:val="nil"/>
            </w:tcBorders>
          </w:tcPr>
          <w:p w14:paraId="64C77167" w14:textId="77777777" w:rsidR="00486795" w:rsidRDefault="00486795" w:rsidP="00E964F6">
            <w:pPr>
              <w:pStyle w:val="TableText"/>
            </w:pPr>
            <w:r>
              <w:t>10.8</w:t>
            </w:r>
          </w:p>
        </w:tc>
        <w:tc>
          <w:tcPr>
            <w:tcW w:w="1539" w:type="dxa"/>
          </w:tcPr>
          <w:p w14:paraId="525656A1" w14:textId="77777777" w:rsidR="00486795" w:rsidRDefault="00486795" w:rsidP="00E964F6">
            <w:pPr>
              <w:pStyle w:val="TableText"/>
            </w:pPr>
            <w:r>
              <w:t>10.1</w:t>
            </w:r>
          </w:p>
        </w:tc>
      </w:tr>
      <w:tr w:rsidR="00486795" w14:paraId="69F1FF6F" w14:textId="77777777" w:rsidTr="00E964F6">
        <w:trPr>
          <w:jc w:val="center"/>
        </w:trPr>
        <w:tc>
          <w:tcPr>
            <w:tcW w:w="3485" w:type="dxa"/>
            <w:tcBorders>
              <w:top w:val="nil"/>
            </w:tcBorders>
          </w:tcPr>
          <w:p w14:paraId="05EB1227" w14:textId="77777777" w:rsidR="00486795" w:rsidRDefault="00486795" w:rsidP="00E964F6">
            <w:pPr>
              <w:pStyle w:val="TableText"/>
            </w:pPr>
            <w:r>
              <w:t>Services</w:t>
            </w:r>
          </w:p>
        </w:tc>
        <w:tc>
          <w:tcPr>
            <w:tcW w:w="1538" w:type="dxa"/>
            <w:tcBorders>
              <w:top w:val="nil"/>
            </w:tcBorders>
          </w:tcPr>
          <w:p w14:paraId="26240BE8" w14:textId="77777777" w:rsidR="00486795" w:rsidRDefault="00486795" w:rsidP="00E964F6">
            <w:pPr>
              <w:pStyle w:val="TableText"/>
            </w:pPr>
            <w:r>
              <w:t>46.1</w:t>
            </w:r>
          </w:p>
        </w:tc>
        <w:tc>
          <w:tcPr>
            <w:tcW w:w="1539" w:type="dxa"/>
            <w:tcBorders>
              <w:top w:val="nil"/>
              <w:bottom w:val="single" w:sz="12" w:space="0" w:color="000000"/>
              <w:right w:val="nil"/>
            </w:tcBorders>
          </w:tcPr>
          <w:p w14:paraId="4FE97D6D" w14:textId="77777777" w:rsidR="00486795" w:rsidRDefault="00486795" w:rsidP="00E964F6">
            <w:pPr>
              <w:pStyle w:val="TableText"/>
            </w:pPr>
            <w:r>
              <w:t>46.3</w:t>
            </w:r>
          </w:p>
        </w:tc>
        <w:tc>
          <w:tcPr>
            <w:tcW w:w="1538" w:type="dxa"/>
            <w:tcBorders>
              <w:top w:val="nil"/>
              <w:left w:val="nil"/>
              <w:bottom w:val="single" w:sz="12" w:space="0" w:color="000000"/>
            </w:tcBorders>
          </w:tcPr>
          <w:p w14:paraId="4B7D96A3" w14:textId="77777777" w:rsidR="00486795" w:rsidRDefault="00486795" w:rsidP="00E964F6">
            <w:pPr>
              <w:pStyle w:val="TableText"/>
            </w:pPr>
            <w:r>
              <w:t>6.4</w:t>
            </w:r>
          </w:p>
        </w:tc>
        <w:tc>
          <w:tcPr>
            <w:tcW w:w="1539" w:type="dxa"/>
            <w:tcBorders>
              <w:top w:val="nil"/>
            </w:tcBorders>
          </w:tcPr>
          <w:p w14:paraId="2C08D577" w14:textId="77777777" w:rsidR="00486795" w:rsidRDefault="00486795" w:rsidP="00E964F6">
            <w:pPr>
              <w:pStyle w:val="TableText"/>
            </w:pPr>
            <w:r>
              <w:t>6.4</w:t>
            </w:r>
          </w:p>
        </w:tc>
      </w:tr>
    </w:tbl>
    <w:p w14:paraId="03E130ED" w14:textId="77777777" w:rsidR="00486795" w:rsidRDefault="00486795" w:rsidP="00486795">
      <w:pPr>
        <w:pStyle w:val="TableFootnote"/>
        <w:rPr>
          <w:lang w:eastAsia="en-US"/>
        </w:rPr>
      </w:pPr>
      <w:r>
        <w:rPr>
          <w:lang w:eastAsia="en-US"/>
        </w:rPr>
        <w:t>Source: INSTAT</w:t>
      </w:r>
    </w:p>
    <w:p w14:paraId="711EA147" w14:textId="77777777" w:rsidR="00486795" w:rsidRDefault="00486795" w:rsidP="00486795">
      <w:pPr>
        <w:pStyle w:val="BodyText"/>
        <w:rPr>
          <w:lang w:eastAsia="en-US"/>
        </w:rPr>
      </w:pPr>
      <w:r>
        <w:rPr>
          <w:b/>
          <w:lang w:eastAsia="en-US"/>
        </w:rPr>
        <w:t>Agriculture</w:t>
      </w:r>
      <w:r>
        <w:rPr>
          <w:lang w:eastAsia="en-US"/>
        </w:rPr>
        <w:t xml:space="preserve"> continues to be one the most important sectors of our economy, contributing 24% of GDP and 58% of employment in 2004. Real growth in agriculture is estimated to be 3%, as a result of adequate climate conditions, investment in new production and technologies, especially in agro-industry, and improved power supplies. Good levels of production have led to low prices. Despite the strong </w:t>
      </w:r>
      <w:proofErr w:type="spellStart"/>
      <w:r>
        <w:rPr>
          <w:lang w:eastAsia="en-US"/>
        </w:rPr>
        <w:t>Lek</w:t>
      </w:r>
      <w:proofErr w:type="spellEnd"/>
      <w:r>
        <w:rPr>
          <w:lang w:eastAsia="en-US"/>
        </w:rPr>
        <w:t>, there has been an increase in agricultural exports and domestic agricultural products have competed successfully against imports.</w:t>
      </w:r>
    </w:p>
    <w:p w14:paraId="3F1E0EF0" w14:textId="77777777" w:rsidR="00486795" w:rsidRDefault="00486795" w:rsidP="00486795">
      <w:pPr>
        <w:pStyle w:val="BodyText"/>
        <w:rPr>
          <w:lang w:eastAsia="en-US"/>
        </w:rPr>
      </w:pPr>
      <w:r>
        <w:rPr>
          <w:lang w:eastAsia="en-US"/>
        </w:rPr>
        <w:t>However, agricultural growth is below the national average growth rate, and is constrained by a number of issues, including emigration from rural areas and the legal framework on property. Agricultural growth is of particular importance to Albania, in view of the very low productivity of the agricultural and agro-industrial system inherited from the past. Further measures are needed to promote the commercialisation of agriculture, both for exports and domestic markets, and to encourage new technologies.</w:t>
      </w:r>
    </w:p>
    <w:p w14:paraId="7F2FE79F" w14:textId="77777777" w:rsidR="00486795" w:rsidRDefault="00486795" w:rsidP="00486795">
      <w:pPr>
        <w:pStyle w:val="BodyText"/>
        <w:rPr>
          <w:lang w:eastAsia="en-US"/>
        </w:rPr>
      </w:pPr>
      <w:r>
        <w:rPr>
          <w:lang w:eastAsia="en-US"/>
        </w:rPr>
        <w:t xml:space="preserve">Growth in </w:t>
      </w:r>
      <w:r>
        <w:rPr>
          <w:b/>
          <w:lang w:eastAsia="en-US"/>
        </w:rPr>
        <w:t>industry</w:t>
      </w:r>
      <w:r>
        <w:rPr>
          <w:lang w:eastAsia="en-US"/>
        </w:rPr>
        <w:t xml:space="preserve"> is also about 3% and has been dominated by the energy sector, which grew by around 48.9 %, because of investment, reform and favourable weather conditions. Growth of the energy sector remains one of the key elements of national strategy, both for economic and social development. In contrast, the metallurgical industry declined by 68.3 % in total, despite an increase in steel production. The manufacture of leather-shoes and chemicals grew by 25.3 % and 19.2 % respectively, while wood processing declined by about 4.3 %. The petroleum sub-sector grew at 7.6 %, despite a decline in volumes. The textile and confectionary industry both grew at about 3.4 %.</w:t>
      </w:r>
    </w:p>
    <w:p w14:paraId="6BD5C82E" w14:textId="77777777" w:rsidR="00486795" w:rsidRDefault="00486795" w:rsidP="00486795">
      <w:pPr>
        <w:pStyle w:val="BodyText"/>
        <w:rPr>
          <w:lang w:eastAsia="en-US"/>
        </w:rPr>
      </w:pPr>
      <w:r>
        <w:rPr>
          <w:b/>
          <w:lang w:eastAsia="en-US"/>
        </w:rPr>
        <w:t>Transport</w:t>
      </w:r>
      <w:r>
        <w:rPr>
          <w:lang w:eastAsia="en-US"/>
        </w:rPr>
        <w:t xml:space="preserve"> grew by 10.1 % in 2004 and this has been dominated by road transport. Port activity has grown by 5.9%. Railway traffic has declined by 24.2% in volume, with a 15% decline in the value of passenger traffic and a 19.3% decline in goods traffic. The government is committed to improving the situation of the railway system and carrying out an efficient privatisation.</w:t>
      </w:r>
    </w:p>
    <w:p w14:paraId="036D6BA6" w14:textId="77777777" w:rsidR="00486795" w:rsidRDefault="00486795" w:rsidP="00486795">
      <w:pPr>
        <w:pStyle w:val="BodyText"/>
        <w:rPr>
          <w:lang w:eastAsia="en-US"/>
        </w:rPr>
      </w:pPr>
      <w:r>
        <w:rPr>
          <w:b/>
          <w:lang w:eastAsia="en-US"/>
        </w:rPr>
        <w:t>Construction</w:t>
      </w:r>
      <w:r>
        <w:rPr>
          <w:lang w:eastAsia="en-US"/>
        </w:rPr>
        <w:t xml:space="preserve"> is one of the most dynamic sectors of the Albanian economy, with a real growth of 10.6% in 2004. Construction activity is concentrated in the major urban centres. Private sector construction is mainly focused on flats and buildings for families, which comprise about 81.6% of the total financing of private construction. State participation in the construction sector is mainly focused on infrastructure and engineering constructions. State financing for engineering constructions constitute 84.8 % of total state financed construction, but is 69 % above the level achieved in 2003.</w:t>
      </w:r>
    </w:p>
    <w:p w14:paraId="17C7782E" w14:textId="77777777" w:rsidR="00486795" w:rsidRDefault="00486795" w:rsidP="00486795">
      <w:pPr>
        <w:pStyle w:val="BodyText"/>
        <w:rPr>
          <w:lang w:eastAsia="en-US"/>
        </w:rPr>
      </w:pPr>
      <w:r>
        <w:rPr>
          <w:lang w:eastAsia="en-US"/>
        </w:rPr>
        <w:t>An analysis of future prospects for construction, based on construction permits issued during 2004, does not look optimistic. Problems appear to be associated with the limited number of construction permits issued, along with constraints on state investment, rather than with private investment capacity and demand.</w:t>
      </w:r>
    </w:p>
    <w:p w14:paraId="5A5A2B04" w14:textId="77777777" w:rsidR="00486795" w:rsidRDefault="00486795" w:rsidP="00486795">
      <w:pPr>
        <w:pStyle w:val="BodyText"/>
        <w:rPr>
          <w:lang w:eastAsia="en-US"/>
        </w:rPr>
      </w:pPr>
      <w:r>
        <w:rPr>
          <w:b/>
          <w:lang w:eastAsia="en-US"/>
        </w:rPr>
        <w:t>Services</w:t>
      </w:r>
      <w:r>
        <w:rPr>
          <w:lang w:eastAsia="en-US"/>
        </w:rPr>
        <w:t xml:space="preserve"> contribute 46.3% of GDP and grew at a rate of 6.4% in 2004, slightly above the national average. Post and telecommunications have increased rapidly, as a result of </w:t>
      </w:r>
      <w:r>
        <w:rPr>
          <w:lang w:eastAsia="en-US"/>
        </w:rPr>
        <w:lastRenderedPageBreak/>
        <w:t xml:space="preserve">improvements in service quality, although reforms and price changes in the telecommunications market have led to some major changes. Reforms and restructuring at </w:t>
      </w:r>
      <w:proofErr w:type="spellStart"/>
      <w:r>
        <w:rPr>
          <w:lang w:eastAsia="en-US"/>
        </w:rPr>
        <w:t>Albtelekom</w:t>
      </w:r>
      <w:proofErr w:type="spellEnd"/>
      <w:r>
        <w:rPr>
          <w:lang w:eastAsia="en-US"/>
        </w:rPr>
        <w:t xml:space="preserve"> remain a priority, in preparation for privatisation. Tourism is a major part of the service sector: during 2004 it is estimated to have generated $673m in revenues, marking an increase of over 29% compared to 2003, with increases in visitor numbers and expenditure per person.</w:t>
      </w:r>
    </w:p>
    <w:tbl>
      <w:tblPr>
        <w:tblpPr w:leftFromText="181" w:rightFromText="181" w:vertAnchor="text" w:horzAnchor="margin"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86795" w14:paraId="322C116A" w14:textId="77777777" w:rsidTr="00E964F6">
        <w:tc>
          <w:tcPr>
            <w:tcW w:w="9923" w:type="dxa"/>
          </w:tcPr>
          <w:p w14:paraId="50311C08" w14:textId="77777777" w:rsidR="00486795" w:rsidRDefault="00486795" w:rsidP="00E964F6">
            <w:pPr>
              <w:pStyle w:val="Heading3"/>
              <w:jc w:val="both"/>
            </w:pPr>
            <w:r>
              <w:t>Public debate on economic growth and poverty</w:t>
            </w:r>
          </w:p>
          <w:p w14:paraId="070D481C" w14:textId="77777777" w:rsidR="00486795" w:rsidRDefault="00486795" w:rsidP="00E964F6">
            <w:pPr>
              <w:pStyle w:val="BodyText"/>
              <w:rPr>
                <w:lang w:eastAsia="en-US"/>
              </w:rPr>
            </w:pPr>
            <w:r>
              <w:rPr>
                <w:lang w:eastAsia="en-US"/>
              </w:rPr>
              <w:t>The NSSED Department organised a public debate in March 2005 to discuss the sources of economic growth in Albania and the impact of growth on poverty. The debate was attended by about 50 people, from a variety of public, private and voluntary organisations. It was launched by a statement from the Minister of Finance, which stressed the need for growth to incorporate social dimensions, as well as economic dimensions, in order to be sustainable. This will involve increased emphasis on human development, civil society and government transparency.</w:t>
            </w:r>
          </w:p>
          <w:p w14:paraId="23940E8C" w14:textId="77777777" w:rsidR="00486795" w:rsidRDefault="00486795" w:rsidP="00E964F6">
            <w:pPr>
              <w:pStyle w:val="BodyText"/>
              <w:rPr>
                <w:lang w:eastAsia="en-US"/>
              </w:rPr>
            </w:pPr>
            <w:r>
              <w:rPr>
                <w:lang w:eastAsia="en-US"/>
              </w:rPr>
              <w:t>Discussion was stimulated by presentations covering: regional experience with economic growth; the national macroeconomic situation; the sources of economic growth; and the linkages between growth and poverty.</w:t>
            </w:r>
          </w:p>
          <w:p w14:paraId="01FEE96E" w14:textId="77777777" w:rsidR="00486795" w:rsidRDefault="00486795" w:rsidP="00E964F6">
            <w:pPr>
              <w:pStyle w:val="BodyText"/>
              <w:rPr>
                <w:lang w:eastAsia="en-US"/>
              </w:rPr>
            </w:pPr>
            <w:r>
              <w:rPr>
                <w:lang w:eastAsia="en-US"/>
              </w:rPr>
              <w:t>Participants were invited to fill in a questionnaire indicating the importance of different sectors and constraints for economic growth and for poverty alleviation. They were also divided into groups, and asked to define the key actions which would: a) promote economic growth; and b) promote poverty alleviation.</w:t>
            </w:r>
          </w:p>
          <w:p w14:paraId="2B4DC8E6" w14:textId="77777777" w:rsidR="00486795" w:rsidRDefault="00486795" w:rsidP="00E964F6">
            <w:pPr>
              <w:pStyle w:val="BodyText"/>
              <w:rPr>
                <w:lang w:eastAsia="en-US"/>
              </w:rPr>
            </w:pPr>
            <w:r>
              <w:rPr>
                <w:lang w:eastAsia="en-US"/>
              </w:rPr>
              <w:t xml:space="preserve">There was broad agreement about the actions required to promote economic growth, as already defined in the NSSED. However, there are a wide variety of views about the relative importance of these different actions. </w:t>
            </w:r>
            <w:r>
              <w:rPr>
                <w:b/>
                <w:lang w:eastAsia="en-US"/>
              </w:rPr>
              <w:t>Infrastructure</w:t>
            </w:r>
            <w:r>
              <w:rPr>
                <w:lang w:eastAsia="en-US"/>
              </w:rPr>
              <w:t xml:space="preserve"> and </w:t>
            </w:r>
            <w:r>
              <w:rPr>
                <w:b/>
                <w:lang w:eastAsia="en-US"/>
              </w:rPr>
              <w:t>private investment</w:t>
            </w:r>
            <w:r>
              <w:rPr>
                <w:lang w:eastAsia="en-US"/>
              </w:rPr>
              <w:t xml:space="preserve"> were widely stated as high priorities, but there were differences on the following issues:</w:t>
            </w:r>
          </w:p>
          <w:p w14:paraId="6220F247" w14:textId="77777777" w:rsidR="00486795" w:rsidRDefault="00486795" w:rsidP="00E964F6">
            <w:pPr>
              <w:pStyle w:val="Listbullet"/>
              <w:jc w:val="both"/>
              <w:rPr>
                <w:lang w:val="en-GB"/>
              </w:rPr>
            </w:pPr>
            <w:r>
              <w:rPr>
                <w:rFonts w:cs="Trebuchet MS"/>
                <w:lang w:val="en-GB"/>
              </w:rPr>
              <w:t xml:space="preserve">One group argued that the </w:t>
            </w:r>
            <w:r>
              <w:rPr>
                <w:rFonts w:cs="Trebuchet MS"/>
                <w:b/>
                <w:lang w:val="en-GB"/>
              </w:rPr>
              <w:t>financial sector</w:t>
            </w:r>
            <w:r>
              <w:rPr>
                <w:rFonts w:cs="Trebuchet MS"/>
                <w:lang w:val="en-GB"/>
              </w:rPr>
              <w:t xml:space="preserve"> should have a high priority, whilst ot</w:t>
            </w:r>
            <w:r>
              <w:rPr>
                <w:lang w:val="en-GB"/>
              </w:rPr>
              <w:t>hers argued that this would have little impact until financial institutions started offering services to a wider variety of activities.</w:t>
            </w:r>
          </w:p>
          <w:p w14:paraId="24FB6CA7" w14:textId="77777777" w:rsidR="00486795" w:rsidRDefault="00486795" w:rsidP="00E964F6">
            <w:pPr>
              <w:pStyle w:val="Listbullet"/>
              <w:jc w:val="both"/>
              <w:rPr>
                <w:lang w:val="en-GB"/>
              </w:rPr>
            </w:pPr>
            <w:r>
              <w:rPr>
                <w:rFonts w:cs="Trebuchet MS"/>
                <w:lang w:val="en-GB"/>
              </w:rPr>
              <w:t xml:space="preserve">It was argued by 2 groups that modernising and commercialising the </w:t>
            </w:r>
            <w:r>
              <w:rPr>
                <w:rFonts w:cs="Trebuchet MS"/>
                <w:b/>
                <w:lang w:val="en-GB"/>
              </w:rPr>
              <w:t>agricultural sector</w:t>
            </w:r>
            <w:r>
              <w:rPr>
                <w:rFonts w:cs="Trebuchet MS"/>
                <w:lang w:val="en-GB"/>
              </w:rPr>
              <w:t xml:space="preserve"> should be given the highest priority, i</w:t>
            </w:r>
            <w:r>
              <w:rPr>
                <w:lang w:val="en-GB"/>
              </w:rPr>
              <w:t>n view of current employment patterns and the potential for reducing poverty in rural areas. However, the view was also expressed that economic growth in recent years had come largely by shifting from agriculture to more productive sectors and that this should continue.</w:t>
            </w:r>
          </w:p>
          <w:p w14:paraId="5C841ADB" w14:textId="77777777" w:rsidR="00486795" w:rsidRDefault="00486795" w:rsidP="00E964F6">
            <w:pPr>
              <w:pStyle w:val="Listbullet"/>
              <w:jc w:val="both"/>
              <w:rPr>
                <w:lang w:val="en-GB"/>
              </w:rPr>
            </w:pPr>
            <w:r>
              <w:rPr>
                <w:rFonts w:cs="Trebuchet MS"/>
                <w:lang w:val="en-GB"/>
              </w:rPr>
              <w:t xml:space="preserve">Contrast views were also expressed on the relative importance of </w:t>
            </w:r>
            <w:r>
              <w:rPr>
                <w:rFonts w:cs="Trebuchet MS"/>
                <w:b/>
                <w:lang w:val="en-GB"/>
              </w:rPr>
              <w:t>barriers to investment</w:t>
            </w:r>
            <w:r>
              <w:rPr>
                <w:rFonts w:cs="Trebuchet MS"/>
                <w:lang w:val="en-GB"/>
              </w:rPr>
              <w:t>, including the definition and enforcement of administrative, regulatory and legislative controls. One group placed this as the top priority, whilst another argu</w:t>
            </w:r>
            <w:r>
              <w:rPr>
                <w:lang w:val="en-GB"/>
              </w:rPr>
              <w:t>ed that growth had already been occurring without strong enforcement, and could continue to do so.</w:t>
            </w:r>
          </w:p>
          <w:p w14:paraId="53073BBE" w14:textId="77777777" w:rsidR="00486795" w:rsidRDefault="00486795" w:rsidP="00E964F6">
            <w:pPr>
              <w:pStyle w:val="Listbullet"/>
              <w:jc w:val="both"/>
              <w:rPr>
                <w:lang w:val="en-GB"/>
              </w:rPr>
            </w:pPr>
            <w:r>
              <w:rPr>
                <w:rFonts w:cs="Trebuchet MS"/>
                <w:lang w:val="en-GB"/>
              </w:rPr>
              <w:t xml:space="preserve">One group placed </w:t>
            </w:r>
            <w:r>
              <w:rPr>
                <w:rFonts w:cs="Trebuchet MS"/>
                <w:b/>
                <w:lang w:val="en-GB"/>
              </w:rPr>
              <w:t>free trade</w:t>
            </w:r>
            <w:r>
              <w:rPr>
                <w:rFonts w:cs="Trebuchet MS"/>
                <w:lang w:val="en-GB"/>
              </w:rPr>
              <w:t xml:space="preserve"> and </w:t>
            </w:r>
            <w:r>
              <w:rPr>
                <w:rFonts w:cs="Trebuchet MS"/>
                <w:b/>
                <w:lang w:val="en-GB"/>
              </w:rPr>
              <w:t>exports</w:t>
            </w:r>
            <w:r>
              <w:rPr>
                <w:rFonts w:cs="Trebuchet MS"/>
                <w:lang w:val="en-GB"/>
              </w:rPr>
              <w:t xml:space="preserve"> as a high priority, whilst the others did not. There was some discussion about the complex nature of free trade imp</w:t>
            </w:r>
            <w:r>
              <w:rPr>
                <w:lang w:val="en-GB"/>
              </w:rPr>
              <w:t>act on the economy.</w:t>
            </w:r>
          </w:p>
          <w:p w14:paraId="578BCF59" w14:textId="77777777" w:rsidR="00486795" w:rsidRDefault="00486795" w:rsidP="00E964F6">
            <w:pPr>
              <w:pStyle w:val="Listbullet"/>
              <w:jc w:val="both"/>
              <w:rPr>
                <w:rFonts w:cs="Trebuchet MS"/>
                <w:lang w:val="en-GB"/>
              </w:rPr>
            </w:pPr>
            <w:r>
              <w:rPr>
                <w:rFonts w:cs="Trebuchet MS"/>
                <w:b/>
                <w:lang w:val="en-GB"/>
              </w:rPr>
              <w:t>Property status</w:t>
            </w:r>
            <w:r>
              <w:rPr>
                <w:rFonts w:cs="Trebuchet MS"/>
                <w:lang w:val="en-GB"/>
              </w:rPr>
              <w:t xml:space="preserve"> and its use for collateral </w:t>
            </w:r>
            <w:proofErr w:type="gramStart"/>
            <w:r>
              <w:rPr>
                <w:rFonts w:cs="Trebuchet MS"/>
                <w:lang w:val="en-GB"/>
              </w:rPr>
              <w:t>was</w:t>
            </w:r>
            <w:proofErr w:type="gramEnd"/>
            <w:r>
              <w:rPr>
                <w:rFonts w:cs="Trebuchet MS"/>
                <w:lang w:val="en-GB"/>
              </w:rPr>
              <w:t xml:space="preserve"> considered as important by a number of individuals, but did not emerge as a key priority during group discussions.</w:t>
            </w:r>
          </w:p>
          <w:p w14:paraId="299E75AE" w14:textId="77777777" w:rsidR="00486795" w:rsidRDefault="00486795" w:rsidP="00E964F6">
            <w:pPr>
              <w:pStyle w:val="Listbullet"/>
              <w:jc w:val="both"/>
              <w:rPr>
                <w:lang w:val="en-GB"/>
              </w:rPr>
            </w:pPr>
            <w:r>
              <w:rPr>
                <w:rFonts w:cs="Trebuchet MS"/>
                <w:lang w:val="en-GB"/>
              </w:rPr>
              <w:t xml:space="preserve">A number of people mentioned the importance of </w:t>
            </w:r>
            <w:r>
              <w:rPr>
                <w:rFonts w:cs="Trebuchet MS"/>
                <w:b/>
                <w:lang w:val="en-GB"/>
              </w:rPr>
              <w:t>tourism</w:t>
            </w:r>
            <w:r>
              <w:rPr>
                <w:rFonts w:cs="Trebuchet MS"/>
                <w:lang w:val="en-GB"/>
              </w:rPr>
              <w:t>, as a key sou</w:t>
            </w:r>
            <w:r>
              <w:rPr>
                <w:lang w:val="en-GB"/>
              </w:rPr>
              <w:t xml:space="preserve">rce of economic growth and there was a debate about the importance of supporting a type of tourism which would have the widest possible benefits for the local economy. </w:t>
            </w:r>
            <w:r>
              <w:rPr>
                <w:b/>
                <w:lang w:val="en-GB"/>
              </w:rPr>
              <w:t>Environmental</w:t>
            </w:r>
            <w:r>
              <w:rPr>
                <w:lang w:val="en-GB"/>
              </w:rPr>
              <w:t xml:space="preserve"> issues were not raised in the debate, except as a constraint for tourism development.</w:t>
            </w:r>
          </w:p>
          <w:p w14:paraId="3F1560B7" w14:textId="77777777" w:rsidR="00486795" w:rsidRDefault="00486795" w:rsidP="00E964F6">
            <w:pPr>
              <w:pStyle w:val="BodyText"/>
              <w:rPr>
                <w:lang w:eastAsia="en-US"/>
              </w:rPr>
            </w:pPr>
            <w:r>
              <w:rPr>
                <w:lang w:eastAsia="en-US"/>
              </w:rPr>
              <w:t xml:space="preserve">The discussion on poverty reduction supported the assertion that economic growth was the main priority and would lead to poverty reduction. One group argued that </w:t>
            </w:r>
            <w:r>
              <w:rPr>
                <w:b/>
                <w:lang w:eastAsia="en-US"/>
              </w:rPr>
              <w:t>education</w:t>
            </w:r>
            <w:r>
              <w:rPr>
                <w:lang w:eastAsia="en-US"/>
              </w:rPr>
              <w:t xml:space="preserve"> needed particular </w:t>
            </w:r>
            <w:r>
              <w:rPr>
                <w:lang w:eastAsia="en-US"/>
              </w:rPr>
              <w:lastRenderedPageBreak/>
              <w:t>attention, whilst another group reminded the debate that there were disagreements on what type of skills and attitudes were required for poverty reduction.</w:t>
            </w:r>
          </w:p>
        </w:tc>
      </w:tr>
    </w:tbl>
    <w:p w14:paraId="5FA4ED8B" w14:textId="77777777" w:rsidR="00C43527" w:rsidRDefault="00C43527" w:rsidP="00486795"/>
    <w:p w14:paraId="5539C5C3" w14:textId="77777777" w:rsidR="00406AB0" w:rsidRDefault="00406AB0" w:rsidP="00406AB0">
      <w:pPr>
        <w:pStyle w:val="Heading1"/>
        <w:keepNext/>
        <w:numPr>
          <w:ilvl w:val="1"/>
          <w:numId w:val="0"/>
        </w:numPr>
        <w:tabs>
          <w:tab w:val="num" w:pos="576"/>
        </w:tabs>
        <w:spacing w:before="360" w:after="240"/>
        <w:ind w:left="576" w:hanging="576"/>
        <w:contextualSpacing w:val="0"/>
      </w:pPr>
      <w:r>
        <w:t>Macroeconomic projections</w:t>
      </w:r>
    </w:p>
    <w:p w14:paraId="2464A2A2" w14:textId="77777777" w:rsidR="00406AB0" w:rsidRDefault="00406AB0" w:rsidP="00406AB0">
      <w:pPr>
        <w:pStyle w:val="BodyText"/>
        <w:rPr>
          <w:lang w:eastAsia="en-US"/>
        </w:rPr>
      </w:pPr>
      <w:r>
        <w:rPr>
          <w:lang w:eastAsia="en-US"/>
        </w:rPr>
        <w:t>The government’s macroeconomic projections are defined in the Medium Term Budget Programme (MTBP) for the period 2005-2007. These are based on continued stability:</w:t>
      </w:r>
    </w:p>
    <w:p w14:paraId="43BFDDB2" w14:textId="77777777" w:rsidR="00406AB0" w:rsidRDefault="00406AB0" w:rsidP="00406AB0">
      <w:pPr>
        <w:pStyle w:val="Listbullet"/>
        <w:numPr>
          <w:ilvl w:val="0"/>
          <w:numId w:val="1"/>
        </w:numPr>
        <w:jc w:val="both"/>
        <w:rPr>
          <w:lang w:val="en-GB"/>
        </w:rPr>
      </w:pPr>
      <w:r>
        <w:rPr>
          <w:lang w:val="en-GB"/>
        </w:rPr>
        <w:t>Sustaining economic growth at a level of 6 %,</w:t>
      </w:r>
    </w:p>
    <w:p w14:paraId="32A8BC06" w14:textId="77777777" w:rsidR="00406AB0" w:rsidRDefault="00406AB0" w:rsidP="00406AB0">
      <w:pPr>
        <w:pStyle w:val="Listbullet"/>
        <w:numPr>
          <w:ilvl w:val="0"/>
          <w:numId w:val="1"/>
        </w:numPr>
        <w:jc w:val="both"/>
        <w:rPr>
          <w:lang w:val="en-GB"/>
        </w:rPr>
      </w:pPr>
      <w:r>
        <w:rPr>
          <w:lang w:val="en-GB"/>
        </w:rPr>
        <w:t xml:space="preserve">Maintaining an annual inflation rate at the interval 2-4%, </w:t>
      </w:r>
    </w:p>
    <w:p w14:paraId="0E41FB2A" w14:textId="77777777" w:rsidR="00406AB0" w:rsidRDefault="00406AB0" w:rsidP="00406AB0">
      <w:pPr>
        <w:pStyle w:val="Listbullet"/>
        <w:numPr>
          <w:ilvl w:val="0"/>
          <w:numId w:val="1"/>
        </w:numPr>
        <w:jc w:val="both"/>
        <w:rPr>
          <w:lang w:val="en-GB"/>
        </w:rPr>
      </w:pPr>
      <w:r>
        <w:rPr>
          <w:lang w:val="en-GB"/>
        </w:rPr>
        <w:t>Preserving foreign currency reserves at the level 4 to 4.5 months import cover, and</w:t>
      </w:r>
    </w:p>
    <w:p w14:paraId="144D2A97" w14:textId="77777777" w:rsidR="00406AB0" w:rsidRDefault="00406AB0" w:rsidP="00406AB0">
      <w:pPr>
        <w:pStyle w:val="Listbullet"/>
        <w:numPr>
          <w:ilvl w:val="0"/>
          <w:numId w:val="1"/>
        </w:numPr>
        <w:jc w:val="both"/>
        <w:rPr>
          <w:lang w:val="en-GB" w:eastAsia="en-US"/>
        </w:rPr>
      </w:pPr>
      <w:r>
        <w:rPr>
          <w:lang w:val="en-GB"/>
        </w:rPr>
        <w:t>Reducing the deficit of the balance of payments current account, with exports growing faster than imports.</w:t>
      </w:r>
      <w:r>
        <w:rPr>
          <w:lang w:val="en-GB" w:eastAsia="en-US"/>
        </w:rPr>
        <w:t xml:space="preserve"> </w:t>
      </w:r>
    </w:p>
    <w:p w14:paraId="6F679C66" w14:textId="77777777" w:rsidR="00406AB0" w:rsidRDefault="00406AB0" w:rsidP="00406AB0">
      <w:pPr>
        <w:pStyle w:val="BodyText"/>
        <w:rPr>
          <w:lang w:eastAsia="en-US"/>
        </w:rPr>
      </w:pPr>
      <w:r>
        <w:rPr>
          <w:lang w:eastAsia="en-US"/>
        </w:rPr>
        <w:t>Economic growth in 2005 is expected to be based first on the growth of the services and construction sectors, accompanied by an increase in transport, agriculture and industry.</w:t>
      </w:r>
    </w:p>
    <w:p w14:paraId="74E7E213" w14:textId="77777777" w:rsidR="00406AB0" w:rsidRDefault="00406AB0" w:rsidP="00406AB0">
      <w:pPr>
        <w:pStyle w:val="BodyText"/>
        <w:rPr>
          <w:lang w:eastAsia="en-US"/>
        </w:rPr>
      </w:pPr>
      <w:r>
        <w:rPr>
          <w:lang w:eastAsia="en-US"/>
        </w:rPr>
        <w:t xml:space="preserve">Some of the main macroeconomic indicators for 2005 are given in </w:t>
      </w:r>
      <w:r w:rsidR="002B0530">
        <w:fldChar w:fldCharType="begin"/>
      </w:r>
      <w:r w:rsidR="002B0530">
        <w:instrText xml:space="preserve"> REF _Ref102285170 \r  \* MERGEFORMAT </w:instrText>
      </w:r>
      <w:r w:rsidR="002B0530">
        <w:fldChar w:fldCharType="separate"/>
      </w:r>
      <w:r>
        <w:rPr>
          <w:lang w:eastAsia="en-US"/>
        </w:rPr>
        <w:t>Table 2.3</w:t>
      </w:r>
      <w:r w:rsidR="002B0530">
        <w:rPr>
          <w:lang w:eastAsia="en-US"/>
        </w:rPr>
        <w:fldChar w:fldCharType="end"/>
      </w:r>
      <w:r>
        <w:rPr>
          <w:lang w:eastAsia="en-US"/>
        </w:rPr>
        <w:t>:</w:t>
      </w:r>
    </w:p>
    <w:p w14:paraId="7ED8D7D4" w14:textId="77777777" w:rsidR="00406AB0" w:rsidRDefault="00406AB0" w:rsidP="00406AB0">
      <w:pPr>
        <w:pStyle w:val="Table"/>
        <w:numPr>
          <w:ilvl w:val="4"/>
          <w:numId w:val="0"/>
        </w:numPr>
        <w:tabs>
          <w:tab w:val="num" w:pos="1008"/>
        </w:tabs>
        <w:ind w:left="1008" w:hanging="1008"/>
        <w:jc w:val="both"/>
      </w:pPr>
      <w:bookmarkStart w:id="8" w:name="_Ref102285170"/>
      <w:bookmarkStart w:id="9" w:name="_Toc109495229"/>
      <w:r>
        <w:t>Main macroeconomic indicators for 2005</w:t>
      </w:r>
      <w:bookmarkEnd w:id="8"/>
      <w:bookmarkEnd w:id="9"/>
    </w:p>
    <w:tbl>
      <w:tblPr>
        <w:tblW w:w="9639" w:type="dxa"/>
        <w:jc w:val="center"/>
        <w:tblBorders>
          <w:top w:val="single" w:sz="12" w:space="0" w:color="000000"/>
          <w:bottom w:val="single" w:sz="12" w:space="0" w:color="000000"/>
        </w:tblBorders>
        <w:tblLook w:val="01E0" w:firstRow="1" w:lastRow="1" w:firstColumn="1" w:lastColumn="1" w:noHBand="0" w:noVBand="0"/>
      </w:tblPr>
      <w:tblGrid>
        <w:gridCol w:w="3485"/>
        <w:gridCol w:w="1538"/>
        <w:gridCol w:w="1539"/>
        <w:gridCol w:w="1538"/>
        <w:gridCol w:w="1539"/>
      </w:tblGrid>
      <w:tr w:rsidR="00406AB0" w14:paraId="731597EF" w14:textId="77777777" w:rsidTr="00E964F6">
        <w:trPr>
          <w:jc w:val="center"/>
        </w:trPr>
        <w:tc>
          <w:tcPr>
            <w:tcW w:w="3485" w:type="dxa"/>
            <w:tcBorders>
              <w:top w:val="single" w:sz="12" w:space="0" w:color="000000"/>
              <w:bottom w:val="nil"/>
            </w:tcBorders>
          </w:tcPr>
          <w:p w14:paraId="5FDCD3A1" w14:textId="77777777" w:rsidR="00406AB0" w:rsidRDefault="00406AB0" w:rsidP="00E964F6">
            <w:pPr>
              <w:pStyle w:val="TableText"/>
            </w:pPr>
          </w:p>
        </w:tc>
        <w:tc>
          <w:tcPr>
            <w:tcW w:w="1538" w:type="dxa"/>
            <w:tcBorders>
              <w:top w:val="single" w:sz="12" w:space="0" w:color="000000"/>
              <w:bottom w:val="nil"/>
            </w:tcBorders>
            <w:vAlign w:val="center"/>
          </w:tcPr>
          <w:p w14:paraId="35AFABD1" w14:textId="77777777" w:rsidR="00406AB0" w:rsidRDefault="00406AB0" w:rsidP="00E964F6">
            <w:pPr>
              <w:pStyle w:val="TableText"/>
            </w:pPr>
            <w:r>
              <w:t>Unit</w:t>
            </w:r>
          </w:p>
        </w:tc>
        <w:tc>
          <w:tcPr>
            <w:tcW w:w="1539" w:type="dxa"/>
            <w:tcBorders>
              <w:top w:val="single" w:sz="12" w:space="0" w:color="000000"/>
              <w:bottom w:val="nil"/>
            </w:tcBorders>
            <w:vAlign w:val="center"/>
          </w:tcPr>
          <w:p w14:paraId="2F5F5315" w14:textId="77777777" w:rsidR="00406AB0" w:rsidRDefault="00406AB0" w:rsidP="00E964F6">
            <w:pPr>
              <w:pStyle w:val="TableText"/>
            </w:pPr>
            <w:r>
              <w:t>2004</w:t>
            </w:r>
          </w:p>
        </w:tc>
        <w:tc>
          <w:tcPr>
            <w:tcW w:w="1538" w:type="dxa"/>
            <w:tcBorders>
              <w:top w:val="single" w:sz="12" w:space="0" w:color="000000"/>
              <w:bottom w:val="nil"/>
            </w:tcBorders>
            <w:vAlign w:val="center"/>
          </w:tcPr>
          <w:p w14:paraId="77032484" w14:textId="77777777" w:rsidR="00406AB0" w:rsidRDefault="00406AB0" w:rsidP="00E964F6">
            <w:pPr>
              <w:pStyle w:val="TableText"/>
            </w:pPr>
            <w:r>
              <w:t>2005</w:t>
            </w:r>
          </w:p>
        </w:tc>
        <w:tc>
          <w:tcPr>
            <w:tcW w:w="1539" w:type="dxa"/>
            <w:tcBorders>
              <w:top w:val="single" w:sz="12" w:space="0" w:color="000000"/>
              <w:bottom w:val="nil"/>
            </w:tcBorders>
            <w:vAlign w:val="center"/>
          </w:tcPr>
          <w:p w14:paraId="4E9CDEA1" w14:textId="77777777" w:rsidR="00406AB0" w:rsidRDefault="00406AB0" w:rsidP="00E964F6">
            <w:pPr>
              <w:pStyle w:val="TableText"/>
            </w:pPr>
            <w:r>
              <w:t>Growth rate (%)</w:t>
            </w:r>
          </w:p>
        </w:tc>
      </w:tr>
      <w:tr w:rsidR="00406AB0" w14:paraId="6B058DE3" w14:textId="77777777" w:rsidTr="00E964F6">
        <w:trPr>
          <w:jc w:val="center"/>
        </w:trPr>
        <w:tc>
          <w:tcPr>
            <w:tcW w:w="3485" w:type="dxa"/>
            <w:tcBorders>
              <w:top w:val="single" w:sz="12" w:space="0" w:color="000000"/>
            </w:tcBorders>
          </w:tcPr>
          <w:p w14:paraId="1E7296AD" w14:textId="77777777" w:rsidR="00406AB0" w:rsidRDefault="00406AB0" w:rsidP="00E964F6">
            <w:pPr>
              <w:pStyle w:val="TableText"/>
            </w:pPr>
            <w:r>
              <w:t>GDP at current prices</w:t>
            </w:r>
          </w:p>
        </w:tc>
        <w:tc>
          <w:tcPr>
            <w:tcW w:w="1538" w:type="dxa"/>
            <w:tcBorders>
              <w:top w:val="single" w:sz="12" w:space="0" w:color="000000"/>
            </w:tcBorders>
          </w:tcPr>
          <w:p w14:paraId="2D0B1F39" w14:textId="77777777" w:rsidR="00406AB0" w:rsidRDefault="00406AB0" w:rsidP="00E964F6">
            <w:pPr>
              <w:pStyle w:val="TableText"/>
            </w:pPr>
            <w:proofErr w:type="spellStart"/>
            <w:r>
              <w:t>Lek</w:t>
            </w:r>
            <w:proofErr w:type="spellEnd"/>
            <w:r>
              <w:t xml:space="preserve"> million</w:t>
            </w:r>
          </w:p>
        </w:tc>
        <w:tc>
          <w:tcPr>
            <w:tcW w:w="1539" w:type="dxa"/>
            <w:tcBorders>
              <w:top w:val="single" w:sz="12" w:space="0" w:color="000000"/>
              <w:right w:val="nil"/>
            </w:tcBorders>
          </w:tcPr>
          <w:p w14:paraId="1EB9A646" w14:textId="77777777" w:rsidR="00406AB0" w:rsidRDefault="00406AB0" w:rsidP="00E964F6">
            <w:pPr>
              <w:pStyle w:val="TableText"/>
            </w:pPr>
            <w:r>
              <w:t>780100</w:t>
            </w:r>
          </w:p>
        </w:tc>
        <w:tc>
          <w:tcPr>
            <w:tcW w:w="1538" w:type="dxa"/>
            <w:tcBorders>
              <w:top w:val="single" w:sz="12" w:space="0" w:color="000000"/>
              <w:left w:val="nil"/>
            </w:tcBorders>
          </w:tcPr>
          <w:p w14:paraId="532C99BB" w14:textId="77777777" w:rsidR="00406AB0" w:rsidRDefault="00406AB0" w:rsidP="00E964F6">
            <w:pPr>
              <w:pStyle w:val="TableText"/>
            </w:pPr>
            <w:r>
              <w:t>857300</w:t>
            </w:r>
          </w:p>
        </w:tc>
        <w:tc>
          <w:tcPr>
            <w:tcW w:w="1539" w:type="dxa"/>
            <w:tcBorders>
              <w:top w:val="single" w:sz="12" w:space="0" w:color="000000"/>
            </w:tcBorders>
          </w:tcPr>
          <w:p w14:paraId="71126DA7" w14:textId="77777777" w:rsidR="00406AB0" w:rsidRDefault="00406AB0" w:rsidP="00E964F6">
            <w:pPr>
              <w:pStyle w:val="TableText"/>
            </w:pPr>
            <w:r>
              <w:t>9.9</w:t>
            </w:r>
          </w:p>
        </w:tc>
      </w:tr>
      <w:tr w:rsidR="00406AB0" w14:paraId="5FB2CA3A" w14:textId="77777777" w:rsidTr="00E964F6">
        <w:trPr>
          <w:jc w:val="center"/>
        </w:trPr>
        <w:tc>
          <w:tcPr>
            <w:tcW w:w="3485" w:type="dxa"/>
          </w:tcPr>
          <w:p w14:paraId="4F211ECC" w14:textId="77777777" w:rsidR="00406AB0" w:rsidRDefault="00406AB0" w:rsidP="00E964F6">
            <w:pPr>
              <w:pStyle w:val="TableText"/>
            </w:pPr>
            <w:r>
              <w:t>Real GDP growth rate</w:t>
            </w:r>
          </w:p>
        </w:tc>
        <w:tc>
          <w:tcPr>
            <w:tcW w:w="1538" w:type="dxa"/>
          </w:tcPr>
          <w:p w14:paraId="44A75026" w14:textId="77777777" w:rsidR="00406AB0" w:rsidRDefault="00406AB0" w:rsidP="00E964F6">
            <w:pPr>
              <w:pStyle w:val="TableText"/>
            </w:pPr>
            <w:r>
              <w:t>%</w:t>
            </w:r>
          </w:p>
        </w:tc>
        <w:tc>
          <w:tcPr>
            <w:tcW w:w="1539" w:type="dxa"/>
            <w:tcBorders>
              <w:right w:val="nil"/>
            </w:tcBorders>
          </w:tcPr>
          <w:p w14:paraId="61BAAC0D" w14:textId="77777777" w:rsidR="00406AB0" w:rsidRDefault="00406AB0" w:rsidP="00E964F6">
            <w:pPr>
              <w:pStyle w:val="TableText"/>
            </w:pPr>
            <w:r>
              <w:t>6.0</w:t>
            </w:r>
          </w:p>
        </w:tc>
        <w:tc>
          <w:tcPr>
            <w:tcW w:w="1538" w:type="dxa"/>
            <w:tcBorders>
              <w:left w:val="nil"/>
            </w:tcBorders>
          </w:tcPr>
          <w:p w14:paraId="51675E4A" w14:textId="77777777" w:rsidR="00406AB0" w:rsidRDefault="00406AB0" w:rsidP="00E964F6">
            <w:pPr>
              <w:pStyle w:val="TableText"/>
            </w:pPr>
            <w:r>
              <w:t>6.0</w:t>
            </w:r>
          </w:p>
        </w:tc>
        <w:tc>
          <w:tcPr>
            <w:tcW w:w="1539" w:type="dxa"/>
          </w:tcPr>
          <w:p w14:paraId="0599287C" w14:textId="77777777" w:rsidR="00406AB0" w:rsidRDefault="00406AB0" w:rsidP="00E964F6">
            <w:pPr>
              <w:pStyle w:val="TableText"/>
            </w:pPr>
          </w:p>
        </w:tc>
      </w:tr>
      <w:tr w:rsidR="00406AB0" w14:paraId="0A9340B2" w14:textId="77777777" w:rsidTr="00E964F6">
        <w:trPr>
          <w:jc w:val="center"/>
        </w:trPr>
        <w:tc>
          <w:tcPr>
            <w:tcW w:w="3485" w:type="dxa"/>
          </w:tcPr>
          <w:p w14:paraId="69050136" w14:textId="77777777" w:rsidR="00406AB0" w:rsidRDefault="00406AB0" w:rsidP="00E964F6">
            <w:pPr>
              <w:pStyle w:val="TableText"/>
            </w:pPr>
            <w:r>
              <w:t>GDP per capita</w:t>
            </w:r>
          </w:p>
        </w:tc>
        <w:tc>
          <w:tcPr>
            <w:tcW w:w="1538" w:type="dxa"/>
          </w:tcPr>
          <w:p w14:paraId="000C7546" w14:textId="77777777" w:rsidR="00406AB0" w:rsidRDefault="00406AB0" w:rsidP="00E964F6">
            <w:pPr>
              <w:pStyle w:val="TableText"/>
            </w:pPr>
            <w:r>
              <w:t>$</w:t>
            </w:r>
          </w:p>
        </w:tc>
        <w:tc>
          <w:tcPr>
            <w:tcW w:w="1539" w:type="dxa"/>
            <w:tcBorders>
              <w:right w:val="nil"/>
            </w:tcBorders>
          </w:tcPr>
          <w:p w14:paraId="78FBAD2F" w14:textId="77777777" w:rsidR="00406AB0" w:rsidRDefault="00406AB0" w:rsidP="00E964F6">
            <w:pPr>
              <w:pStyle w:val="TableText"/>
            </w:pPr>
            <w:r>
              <w:t>2431</w:t>
            </w:r>
          </w:p>
        </w:tc>
        <w:tc>
          <w:tcPr>
            <w:tcW w:w="1538" w:type="dxa"/>
            <w:tcBorders>
              <w:left w:val="nil"/>
            </w:tcBorders>
          </w:tcPr>
          <w:p w14:paraId="6A2FCB1A" w14:textId="77777777" w:rsidR="00406AB0" w:rsidRDefault="00406AB0" w:rsidP="00E964F6">
            <w:pPr>
              <w:pStyle w:val="TableText"/>
            </w:pPr>
            <w:r>
              <w:t>2575</w:t>
            </w:r>
          </w:p>
        </w:tc>
        <w:tc>
          <w:tcPr>
            <w:tcW w:w="1539" w:type="dxa"/>
          </w:tcPr>
          <w:p w14:paraId="468F82A1" w14:textId="77777777" w:rsidR="00406AB0" w:rsidRDefault="00406AB0" w:rsidP="00E964F6">
            <w:pPr>
              <w:pStyle w:val="TableText"/>
            </w:pPr>
            <w:r>
              <w:t>5.9</w:t>
            </w:r>
          </w:p>
        </w:tc>
      </w:tr>
      <w:tr w:rsidR="00406AB0" w14:paraId="42BB3DEF" w14:textId="77777777" w:rsidTr="00E964F6">
        <w:trPr>
          <w:jc w:val="center"/>
        </w:trPr>
        <w:tc>
          <w:tcPr>
            <w:tcW w:w="3485" w:type="dxa"/>
          </w:tcPr>
          <w:p w14:paraId="4E2596D9" w14:textId="77777777" w:rsidR="00406AB0" w:rsidRDefault="00406AB0" w:rsidP="00E964F6">
            <w:pPr>
              <w:pStyle w:val="TableText"/>
            </w:pPr>
            <w:r>
              <w:t>Inflation (average)</w:t>
            </w:r>
          </w:p>
        </w:tc>
        <w:tc>
          <w:tcPr>
            <w:tcW w:w="1538" w:type="dxa"/>
          </w:tcPr>
          <w:p w14:paraId="1318E6CA" w14:textId="77777777" w:rsidR="00406AB0" w:rsidRDefault="00406AB0" w:rsidP="00E964F6">
            <w:pPr>
              <w:pStyle w:val="TableText"/>
            </w:pPr>
            <w:r>
              <w:t>%</w:t>
            </w:r>
          </w:p>
        </w:tc>
        <w:tc>
          <w:tcPr>
            <w:tcW w:w="1539" w:type="dxa"/>
            <w:tcBorders>
              <w:right w:val="nil"/>
            </w:tcBorders>
          </w:tcPr>
          <w:p w14:paraId="3D5A92B3" w14:textId="77777777" w:rsidR="00406AB0" w:rsidRDefault="00406AB0" w:rsidP="00E964F6">
            <w:pPr>
              <w:pStyle w:val="TableText"/>
            </w:pPr>
            <w:r>
              <w:t>2.9</w:t>
            </w:r>
          </w:p>
        </w:tc>
        <w:tc>
          <w:tcPr>
            <w:tcW w:w="1538" w:type="dxa"/>
            <w:tcBorders>
              <w:left w:val="nil"/>
            </w:tcBorders>
          </w:tcPr>
          <w:p w14:paraId="56BAA329" w14:textId="77777777" w:rsidR="00406AB0" w:rsidRDefault="00406AB0" w:rsidP="00E964F6">
            <w:pPr>
              <w:pStyle w:val="TableText"/>
            </w:pPr>
            <w:r>
              <w:t>2.4</w:t>
            </w:r>
          </w:p>
        </w:tc>
        <w:tc>
          <w:tcPr>
            <w:tcW w:w="1539" w:type="dxa"/>
          </w:tcPr>
          <w:p w14:paraId="51123655" w14:textId="77777777" w:rsidR="00406AB0" w:rsidRDefault="00406AB0" w:rsidP="00E964F6">
            <w:pPr>
              <w:pStyle w:val="TableText"/>
            </w:pPr>
            <w:r>
              <w:t>-17.2</w:t>
            </w:r>
          </w:p>
        </w:tc>
      </w:tr>
      <w:tr w:rsidR="00406AB0" w14:paraId="71810136" w14:textId="77777777" w:rsidTr="00E964F6">
        <w:trPr>
          <w:jc w:val="center"/>
        </w:trPr>
        <w:tc>
          <w:tcPr>
            <w:tcW w:w="3485" w:type="dxa"/>
          </w:tcPr>
          <w:p w14:paraId="2443D89C" w14:textId="77777777" w:rsidR="00406AB0" w:rsidRDefault="00406AB0" w:rsidP="00E964F6">
            <w:pPr>
              <w:pStyle w:val="TableText"/>
            </w:pPr>
            <w:r>
              <w:t>Exchange rate</w:t>
            </w:r>
          </w:p>
        </w:tc>
        <w:tc>
          <w:tcPr>
            <w:tcW w:w="1538" w:type="dxa"/>
          </w:tcPr>
          <w:p w14:paraId="59D9A9E5" w14:textId="77777777" w:rsidR="00406AB0" w:rsidRDefault="00406AB0" w:rsidP="00E964F6">
            <w:pPr>
              <w:pStyle w:val="TableText"/>
            </w:pPr>
            <w:proofErr w:type="spellStart"/>
            <w:r>
              <w:t>Lek</w:t>
            </w:r>
            <w:proofErr w:type="spellEnd"/>
            <w:r>
              <w:t>/$</w:t>
            </w:r>
          </w:p>
        </w:tc>
        <w:tc>
          <w:tcPr>
            <w:tcW w:w="1539" w:type="dxa"/>
            <w:tcBorders>
              <w:right w:val="nil"/>
            </w:tcBorders>
          </w:tcPr>
          <w:p w14:paraId="0E578C23" w14:textId="77777777" w:rsidR="00406AB0" w:rsidRDefault="00406AB0" w:rsidP="00E964F6">
            <w:pPr>
              <w:pStyle w:val="TableText"/>
            </w:pPr>
            <w:r>
              <w:t>102.8</w:t>
            </w:r>
          </w:p>
        </w:tc>
        <w:tc>
          <w:tcPr>
            <w:tcW w:w="1538" w:type="dxa"/>
            <w:tcBorders>
              <w:left w:val="nil"/>
            </w:tcBorders>
          </w:tcPr>
          <w:p w14:paraId="4FA7DB4D" w14:textId="77777777" w:rsidR="00406AB0" w:rsidRDefault="00406AB0" w:rsidP="00E964F6">
            <w:pPr>
              <w:pStyle w:val="TableText"/>
            </w:pPr>
            <w:r>
              <w:t>106.0</w:t>
            </w:r>
          </w:p>
        </w:tc>
        <w:tc>
          <w:tcPr>
            <w:tcW w:w="1539" w:type="dxa"/>
          </w:tcPr>
          <w:p w14:paraId="759508D6" w14:textId="77777777" w:rsidR="00406AB0" w:rsidRDefault="00406AB0" w:rsidP="00E964F6">
            <w:pPr>
              <w:pStyle w:val="TableText"/>
            </w:pPr>
            <w:r>
              <w:t>3.1</w:t>
            </w:r>
          </w:p>
        </w:tc>
      </w:tr>
      <w:tr w:rsidR="00406AB0" w14:paraId="6C09C72C" w14:textId="77777777" w:rsidTr="00E964F6">
        <w:trPr>
          <w:jc w:val="center"/>
        </w:trPr>
        <w:tc>
          <w:tcPr>
            <w:tcW w:w="3485" w:type="dxa"/>
          </w:tcPr>
          <w:p w14:paraId="7D185E0A" w14:textId="77777777" w:rsidR="00406AB0" w:rsidRDefault="00406AB0" w:rsidP="00E964F6">
            <w:pPr>
              <w:pStyle w:val="TableText"/>
            </w:pPr>
            <w:r>
              <w:t>Trade balance</w:t>
            </w:r>
          </w:p>
        </w:tc>
        <w:tc>
          <w:tcPr>
            <w:tcW w:w="1538" w:type="dxa"/>
          </w:tcPr>
          <w:p w14:paraId="2ADC955A" w14:textId="77777777" w:rsidR="00406AB0" w:rsidRDefault="00406AB0" w:rsidP="00E964F6">
            <w:pPr>
              <w:pStyle w:val="TableText"/>
            </w:pPr>
            <w:r>
              <w:t>$ million</w:t>
            </w:r>
          </w:p>
        </w:tc>
        <w:tc>
          <w:tcPr>
            <w:tcW w:w="1539" w:type="dxa"/>
            <w:tcBorders>
              <w:right w:val="nil"/>
            </w:tcBorders>
          </w:tcPr>
          <w:p w14:paraId="6B5A70F0" w14:textId="77777777" w:rsidR="00406AB0" w:rsidRDefault="00406AB0" w:rsidP="00E964F6">
            <w:pPr>
              <w:pStyle w:val="TableText"/>
            </w:pPr>
            <w:r>
              <w:t>-1579</w:t>
            </w:r>
          </w:p>
        </w:tc>
        <w:tc>
          <w:tcPr>
            <w:tcW w:w="1538" w:type="dxa"/>
            <w:tcBorders>
              <w:left w:val="nil"/>
            </w:tcBorders>
          </w:tcPr>
          <w:p w14:paraId="07AB9FD3" w14:textId="77777777" w:rsidR="00406AB0" w:rsidRDefault="00406AB0" w:rsidP="00E964F6">
            <w:pPr>
              <w:pStyle w:val="TableText"/>
            </w:pPr>
            <w:r>
              <w:t>-1981</w:t>
            </w:r>
          </w:p>
        </w:tc>
        <w:tc>
          <w:tcPr>
            <w:tcW w:w="1539" w:type="dxa"/>
          </w:tcPr>
          <w:p w14:paraId="5E1F2636" w14:textId="77777777" w:rsidR="00406AB0" w:rsidRDefault="00406AB0" w:rsidP="00E964F6">
            <w:pPr>
              <w:pStyle w:val="TableText"/>
            </w:pPr>
            <w:r>
              <w:t>25.5</w:t>
            </w:r>
          </w:p>
        </w:tc>
      </w:tr>
      <w:tr w:rsidR="00406AB0" w14:paraId="6418F219" w14:textId="77777777" w:rsidTr="00E964F6">
        <w:trPr>
          <w:jc w:val="center"/>
        </w:trPr>
        <w:tc>
          <w:tcPr>
            <w:tcW w:w="3485" w:type="dxa"/>
          </w:tcPr>
          <w:p w14:paraId="4E2ACFDB" w14:textId="77777777" w:rsidR="00406AB0" w:rsidRDefault="00406AB0" w:rsidP="00E964F6">
            <w:pPr>
              <w:pStyle w:val="TableText"/>
            </w:pPr>
            <w:r>
              <w:t>Exports</w:t>
            </w:r>
          </w:p>
        </w:tc>
        <w:tc>
          <w:tcPr>
            <w:tcW w:w="1538" w:type="dxa"/>
          </w:tcPr>
          <w:p w14:paraId="5B74DB8D" w14:textId="77777777" w:rsidR="00406AB0" w:rsidRDefault="00406AB0" w:rsidP="00E964F6">
            <w:pPr>
              <w:pStyle w:val="TableText"/>
            </w:pPr>
            <w:r>
              <w:t>$ million</w:t>
            </w:r>
          </w:p>
        </w:tc>
        <w:tc>
          <w:tcPr>
            <w:tcW w:w="1539" w:type="dxa"/>
            <w:tcBorders>
              <w:right w:val="nil"/>
            </w:tcBorders>
          </w:tcPr>
          <w:p w14:paraId="2D1785A4" w14:textId="77777777" w:rsidR="00406AB0" w:rsidRDefault="00406AB0" w:rsidP="00E964F6">
            <w:pPr>
              <w:pStyle w:val="TableText"/>
            </w:pPr>
            <w:r>
              <w:t>603</w:t>
            </w:r>
          </w:p>
        </w:tc>
        <w:tc>
          <w:tcPr>
            <w:tcW w:w="1538" w:type="dxa"/>
            <w:tcBorders>
              <w:left w:val="nil"/>
            </w:tcBorders>
          </w:tcPr>
          <w:p w14:paraId="7A6EC11C" w14:textId="77777777" w:rsidR="00406AB0" w:rsidRDefault="00406AB0" w:rsidP="00E964F6">
            <w:pPr>
              <w:pStyle w:val="TableText"/>
            </w:pPr>
            <w:r>
              <w:t>766</w:t>
            </w:r>
          </w:p>
        </w:tc>
        <w:tc>
          <w:tcPr>
            <w:tcW w:w="1539" w:type="dxa"/>
          </w:tcPr>
          <w:p w14:paraId="05F35BE4" w14:textId="77777777" w:rsidR="00406AB0" w:rsidRDefault="00406AB0" w:rsidP="00E964F6">
            <w:pPr>
              <w:pStyle w:val="TableText"/>
            </w:pPr>
            <w:r>
              <w:t>27.0</w:t>
            </w:r>
          </w:p>
        </w:tc>
      </w:tr>
      <w:tr w:rsidR="00406AB0" w14:paraId="69C79EBF" w14:textId="77777777" w:rsidTr="00E964F6">
        <w:trPr>
          <w:jc w:val="center"/>
        </w:trPr>
        <w:tc>
          <w:tcPr>
            <w:tcW w:w="3485" w:type="dxa"/>
            <w:tcBorders>
              <w:top w:val="nil"/>
            </w:tcBorders>
          </w:tcPr>
          <w:p w14:paraId="2C0C92BC" w14:textId="77777777" w:rsidR="00406AB0" w:rsidRDefault="00406AB0" w:rsidP="00E964F6">
            <w:pPr>
              <w:pStyle w:val="TableText"/>
            </w:pPr>
            <w:r>
              <w:t>Imports</w:t>
            </w:r>
          </w:p>
        </w:tc>
        <w:tc>
          <w:tcPr>
            <w:tcW w:w="1538" w:type="dxa"/>
            <w:tcBorders>
              <w:top w:val="nil"/>
            </w:tcBorders>
          </w:tcPr>
          <w:p w14:paraId="7965EE1E" w14:textId="77777777" w:rsidR="00406AB0" w:rsidRDefault="00406AB0" w:rsidP="00E964F6">
            <w:pPr>
              <w:pStyle w:val="TableText"/>
            </w:pPr>
            <w:r>
              <w:t>$ million</w:t>
            </w:r>
          </w:p>
        </w:tc>
        <w:tc>
          <w:tcPr>
            <w:tcW w:w="1539" w:type="dxa"/>
            <w:tcBorders>
              <w:top w:val="nil"/>
              <w:right w:val="nil"/>
            </w:tcBorders>
          </w:tcPr>
          <w:p w14:paraId="566CDB19" w14:textId="77777777" w:rsidR="00406AB0" w:rsidRDefault="00406AB0" w:rsidP="00E964F6">
            <w:pPr>
              <w:pStyle w:val="TableText"/>
            </w:pPr>
            <w:r>
              <w:t>2182</w:t>
            </w:r>
          </w:p>
        </w:tc>
        <w:tc>
          <w:tcPr>
            <w:tcW w:w="1538" w:type="dxa"/>
            <w:tcBorders>
              <w:top w:val="nil"/>
              <w:left w:val="nil"/>
            </w:tcBorders>
          </w:tcPr>
          <w:p w14:paraId="291E44FF" w14:textId="77777777" w:rsidR="00406AB0" w:rsidRDefault="00406AB0" w:rsidP="00E964F6">
            <w:pPr>
              <w:pStyle w:val="TableText"/>
            </w:pPr>
            <w:r>
              <w:t>2747</w:t>
            </w:r>
          </w:p>
        </w:tc>
        <w:tc>
          <w:tcPr>
            <w:tcW w:w="1539" w:type="dxa"/>
            <w:tcBorders>
              <w:top w:val="nil"/>
            </w:tcBorders>
          </w:tcPr>
          <w:p w14:paraId="0949A83B" w14:textId="77777777" w:rsidR="00406AB0" w:rsidRDefault="00406AB0" w:rsidP="00E964F6">
            <w:pPr>
              <w:pStyle w:val="TableText"/>
            </w:pPr>
            <w:r>
              <w:t>25.9</w:t>
            </w:r>
          </w:p>
        </w:tc>
      </w:tr>
    </w:tbl>
    <w:p w14:paraId="2A21F1E2" w14:textId="77777777" w:rsidR="00406AB0" w:rsidRDefault="00406AB0" w:rsidP="00406AB0">
      <w:pPr>
        <w:pStyle w:val="BodyText"/>
        <w:rPr>
          <w:lang w:eastAsia="en-US"/>
        </w:rPr>
      </w:pPr>
    </w:p>
    <w:p w14:paraId="7349458A" w14:textId="77777777" w:rsidR="00406AB0" w:rsidRDefault="00406AB0" w:rsidP="00406AB0">
      <w:pPr>
        <w:pStyle w:val="BodyText"/>
        <w:rPr>
          <w:lang w:eastAsia="en-US"/>
        </w:rPr>
      </w:pPr>
      <w:r>
        <w:rPr>
          <w:lang w:eastAsia="en-US"/>
        </w:rPr>
        <w:t>Reforms in the tax and customs administration, combined with efforts to reduce the informal economy, will increase the total budget revenues from 23.6% to 24.1% of GDP. This is equivalent to an 11.9% increase in revenue in nominal terms. All forms of revenue will increase, with tax revenues (notably personal income tax) and social contributions increasing slightly faster than the rest. Expenditure will remain constant as a proportion of GDP, allowing for a 6% real increase in public spending.</w:t>
      </w:r>
    </w:p>
    <w:p w14:paraId="5CFDA230" w14:textId="77777777" w:rsidR="00406AB0" w:rsidRDefault="00406AB0" w:rsidP="00406AB0">
      <w:pPr>
        <w:pStyle w:val="Table"/>
        <w:numPr>
          <w:ilvl w:val="4"/>
          <w:numId w:val="0"/>
        </w:numPr>
        <w:tabs>
          <w:tab w:val="num" w:pos="1008"/>
        </w:tabs>
        <w:ind w:left="1008" w:hanging="1008"/>
        <w:jc w:val="both"/>
      </w:pPr>
      <w:bookmarkStart w:id="10" w:name="_Toc109495230"/>
      <w:r>
        <w:t>Main fiscal indicators for 2005, as a proportion of GDP (%)</w:t>
      </w:r>
      <w:bookmarkEnd w:id="10"/>
    </w:p>
    <w:tbl>
      <w:tblPr>
        <w:tblW w:w="9639" w:type="dxa"/>
        <w:tblBorders>
          <w:top w:val="single" w:sz="12" w:space="0" w:color="000000"/>
          <w:bottom w:val="single" w:sz="12" w:space="0" w:color="000000"/>
        </w:tblBorders>
        <w:tblLook w:val="01E0" w:firstRow="1" w:lastRow="1" w:firstColumn="1" w:lastColumn="1" w:noHBand="0" w:noVBand="0"/>
      </w:tblPr>
      <w:tblGrid>
        <w:gridCol w:w="5119"/>
        <w:gridCol w:w="2261"/>
        <w:gridCol w:w="2259"/>
      </w:tblGrid>
      <w:tr w:rsidR="00406AB0" w14:paraId="3D6A7BC7" w14:textId="77777777" w:rsidTr="00E964F6">
        <w:tc>
          <w:tcPr>
            <w:tcW w:w="3485" w:type="dxa"/>
            <w:tcBorders>
              <w:top w:val="single" w:sz="12" w:space="0" w:color="000000"/>
              <w:bottom w:val="nil"/>
            </w:tcBorders>
          </w:tcPr>
          <w:p w14:paraId="0943EA60" w14:textId="77777777" w:rsidR="00406AB0" w:rsidRDefault="00406AB0" w:rsidP="00E964F6">
            <w:pPr>
              <w:pStyle w:val="TableText"/>
            </w:pPr>
          </w:p>
        </w:tc>
        <w:tc>
          <w:tcPr>
            <w:tcW w:w="1539" w:type="dxa"/>
            <w:tcBorders>
              <w:top w:val="single" w:sz="12" w:space="0" w:color="000000"/>
              <w:bottom w:val="nil"/>
            </w:tcBorders>
            <w:vAlign w:val="center"/>
          </w:tcPr>
          <w:p w14:paraId="0D831DAD" w14:textId="77777777" w:rsidR="00406AB0" w:rsidRDefault="00406AB0" w:rsidP="00E964F6">
            <w:pPr>
              <w:pStyle w:val="TableText"/>
            </w:pPr>
            <w:r>
              <w:t>2004</w:t>
            </w:r>
          </w:p>
        </w:tc>
        <w:tc>
          <w:tcPr>
            <w:tcW w:w="1538" w:type="dxa"/>
            <w:tcBorders>
              <w:top w:val="single" w:sz="12" w:space="0" w:color="000000"/>
              <w:bottom w:val="nil"/>
            </w:tcBorders>
            <w:vAlign w:val="center"/>
          </w:tcPr>
          <w:p w14:paraId="7A161D2F" w14:textId="77777777" w:rsidR="00406AB0" w:rsidRDefault="00406AB0" w:rsidP="00E964F6">
            <w:pPr>
              <w:pStyle w:val="TableText"/>
            </w:pPr>
            <w:r>
              <w:t>2005</w:t>
            </w:r>
          </w:p>
        </w:tc>
      </w:tr>
      <w:tr w:rsidR="00406AB0" w14:paraId="02ECD401" w14:textId="77777777" w:rsidTr="00E964F6">
        <w:tc>
          <w:tcPr>
            <w:tcW w:w="3485" w:type="dxa"/>
            <w:tcBorders>
              <w:top w:val="single" w:sz="12" w:space="0" w:color="000000"/>
            </w:tcBorders>
          </w:tcPr>
          <w:p w14:paraId="391B43C1" w14:textId="77777777" w:rsidR="00406AB0" w:rsidRDefault="00406AB0" w:rsidP="00E964F6">
            <w:pPr>
              <w:pStyle w:val="TableText"/>
            </w:pPr>
            <w:r>
              <w:t>Total revenues</w:t>
            </w:r>
          </w:p>
        </w:tc>
        <w:tc>
          <w:tcPr>
            <w:tcW w:w="1539" w:type="dxa"/>
            <w:tcBorders>
              <w:top w:val="single" w:sz="12" w:space="0" w:color="000000"/>
              <w:right w:val="nil"/>
            </w:tcBorders>
          </w:tcPr>
          <w:p w14:paraId="6603215F" w14:textId="77777777" w:rsidR="00406AB0" w:rsidRDefault="00406AB0" w:rsidP="00E964F6">
            <w:pPr>
              <w:pStyle w:val="TableText"/>
            </w:pPr>
            <w:r>
              <w:t>23.6</w:t>
            </w:r>
          </w:p>
        </w:tc>
        <w:tc>
          <w:tcPr>
            <w:tcW w:w="1538" w:type="dxa"/>
            <w:tcBorders>
              <w:top w:val="single" w:sz="12" w:space="0" w:color="000000"/>
              <w:left w:val="nil"/>
            </w:tcBorders>
          </w:tcPr>
          <w:p w14:paraId="212426AF" w14:textId="77777777" w:rsidR="00406AB0" w:rsidRDefault="00406AB0" w:rsidP="00E964F6">
            <w:pPr>
              <w:pStyle w:val="TableText"/>
            </w:pPr>
            <w:r>
              <w:t>24.1</w:t>
            </w:r>
          </w:p>
        </w:tc>
      </w:tr>
      <w:tr w:rsidR="00406AB0" w14:paraId="05A5DD7D" w14:textId="77777777" w:rsidTr="00E964F6">
        <w:tc>
          <w:tcPr>
            <w:tcW w:w="3485" w:type="dxa"/>
          </w:tcPr>
          <w:p w14:paraId="528DE854" w14:textId="77777777" w:rsidR="00406AB0" w:rsidRDefault="00406AB0" w:rsidP="00E964F6">
            <w:pPr>
              <w:pStyle w:val="TableText"/>
            </w:pPr>
            <w:r>
              <w:t>Total expenditure</w:t>
            </w:r>
          </w:p>
        </w:tc>
        <w:tc>
          <w:tcPr>
            <w:tcW w:w="1539" w:type="dxa"/>
            <w:tcBorders>
              <w:right w:val="nil"/>
            </w:tcBorders>
          </w:tcPr>
          <w:p w14:paraId="2916C0AD" w14:textId="77777777" w:rsidR="00406AB0" w:rsidRDefault="00406AB0" w:rsidP="00E964F6">
            <w:pPr>
              <w:pStyle w:val="TableText"/>
            </w:pPr>
            <w:r>
              <w:t>28.5</w:t>
            </w:r>
          </w:p>
        </w:tc>
        <w:tc>
          <w:tcPr>
            <w:tcW w:w="1538" w:type="dxa"/>
            <w:tcBorders>
              <w:left w:val="nil"/>
            </w:tcBorders>
          </w:tcPr>
          <w:p w14:paraId="68EA7560" w14:textId="77777777" w:rsidR="00406AB0" w:rsidRDefault="00406AB0" w:rsidP="00E964F6">
            <w:pPr>
              <w:pStyle w:val="TableText"/>
            </w:pPr>
            <w:r>
              <w:t>29.0</w:t>
            </w:r>
          </w:p>
        </w:tc>
      </w:tr>
      <w:tr w:rsidR="00406AB0" w14:paraId="20BD868E" w14:textId="77777777" w:rsidTr="00E964F6">
        <w:tc>
          <w:tcPr>
            <w:tcW w:w="3485" w:type="dxa"/>
            <w:tcBorders>
              <w:top w:val="nil"/>
            </w:tcBorders>
          </w:tcPr>
          <w:p w14:paraId="472EB051" w14:textId="77777777" w:rsidR="00406AB0" w:rsidRDefault="00406AB0" w:rsidP="00E964F6">
            <w:pPr>
              <w:pStyle w:val="TableText"/>
            </w:pPr>
            <w:r>
              <w:t>Deficit</w:t>
            </w:r>
          </w:p>
        </w:tc>
        <w:tc>
          <w:tcPr>
            <w:tcW w:w="1539" w:type="dxa"/>
            <w:tcBorders>
              <w:top w:val="nil"/>
              <w:right w:val="nil"/>
            </w:tcBorders>
          </w:tcPr>
          <w:p w14:paraId="652EFE32" w14:textId="77777777" w:rsidR="00406AB0" w:rsidRDefault="00406AB0" w:rsidP="00E964F6">
            <w:pPr>
              <w:pStyle w:val="TableText"/>
            </w:pPr>
            <w:r>
              <w:t>-4.9</w:t>
            </w:r>
          </w:p>
        </w:tc>
        <w:tc>
          <w:tcPr>
            <w:tcW w:w="1538" w:type="dxa"/>
            <w:tcBorders>
              <w:top w:val="nil"/>
              <w:left w:val="nil"/>
            </w:tcBorders>
          </w:tcPr>
          <w:p w14:paraId="56DABE25" w14:textId="77777777" w:rsidR="00406AB0" w:rsidRDefault="00406AB0" w:rsidP="00E964F6">
            <w:pPr>
              <w:pStyle w:val="TableText"/>
            </w:pPr>
            <w:r>
              <w:t>-4.9</w:t>
            </w:r>
          </w:p>
        </w:tc>
      </w:tr>
    </w:tbl>
    <w:p w14:paraId="21DFCBC1" w14:textId="77777777" w:rsidR="00406AB0" w:rsidRDefault="00406AB0" w:rsidP="00406AB0">
      <w:pPr>
        <w:pStyle w:val="BodyText"/>
        <w:rPr>
          <w:lang w:eastAsia="en-US"/>
        </w:rPr>
      </w:pPr>
    </w:p>
    <w:p w14:paraId="2198809C" w14:textId="77777777" w:rsidR="00406AB0" w:rsidRDefault="00406AB0" w:rsidP="00406AB0">
      <w:pPr>
        <w:pStyle w:val="BodyText"/>
        <w:rPr>
          <w:lang w:eastAsia="zh-CN"/>
        </w:rPr>
      </w:pPr>
      <w:r>
        <w:rPr>
          <w:lang w:eastAsia="en-US"/>
        </w:rPr>
        <w:lastRenderedPageBreak/>
        <w:t>The main objective of monetary policy during 2005 will continue to be the preservation of the annual inflation rate at 2-4 %. This objective will be achieved by maintaining the increase in money supply at a level in line with the increase of nominal GDP, and assuming some progress in the rate of money circulation. Macroeconomic stability will lead to a continued decline in interest rates and expansion of credit in the economy.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06AB0" w14:paraId="44F1EF97" w14:textId="77777777" w:rsidTr="00E964F6">
        <w:trPr>
          <w:jc w:val="center"/>
        </w:trPr>
        <w:tc>
          <w:tcPr>
            <w:tcW w:w="9923" w:type="dxa"/>
          </w:tcPr>
          <w:p w14:paraId="728A9DD0" w14:textId="77777777" w:rsidR="00406AB0" w:rsidRDefault="00406AB0" w:rsidP="00E964F6">
            <w:pPr>
              <w:pStyle w:val="Heading3"/>
              <w:jc w:val="both"/>
            </w:pPr>
            <w:r>
              <w:t>Methodology of macroeconomic projections</w:t>
            </w:r>
          </w:p>
          <w:p w14:paraId="4AD516CB" w14:textId="77777777" w:rsidR="00406AB0" w:rsidRDefault="00406AB0" w:rsidP="00E964F6">
            <w:pPr>
              <w:pStyle w:val="BodyText"/>
              <w:rPr>
                <w:lang w:eastAsia="en-US"/>
              </w:rPr>
            </w:pPr>
            <w:r>
              <w:rPr>
                <w:lang w:eastAsia="en-US"/>
              </w:rPr>
              <w:t>The macroeconomic projections are generated by a model which uses independent projections of underlying (or final) demand in the economy and then calculates the level of domestic economic activity needed to meet this demand, using input-output analysis. The final demand of the economy is defined as: government spending (current and capital); exports (of goods and services, including tourism); and private spending (both on investment and consumption). A part of private income is also projected independently (spending of government transfers and income from abroad), whilst spending of income earned domestically is calculated from the input-output analysis. Projections are made as follows:</w:t>
            </w:r>
          </w:p>
          <w:p w14:paraId="6BD848AE" w14:textId="77777777" w:rsidR="00406AB0" w:rsidRDefault="00406AB0" w:rsidP="00406AB0">
            <w:pPr>
              <w:pStyle w:val="Listbullet"/>
              <w:numPr>
                <w:ilvl w:val="0"/>
                <w:numId w:val="1"/>
              </w:numPr>
              <w:jc w:val="both"/>
              <w:rPr>
                <w:lang w:val="en-GB"/>
              </w:rPr>
            </w:pPr>
            <w:r>
              <w:rPr>
                <w:lang w:val="en-GB"/>
              </w:rPr>
              <w:t>Government spending is projected by the Budget Department at the Ministry of Finance, based on the Medium-Term Budget Programme process.</w:t>
            </w:r>
          </w:p>
          <w:p w14:paraId="63691A5E" w14:textId="77777777" w:rsidR="00406AB0" w:rsidRDefault="00406AB0" w:rsidP="00406AB0">
            <w:pPr>
              <w:pStyle w:val="Listbullet"/>
              <w:numPr>
                <w:ilvl w:val="0"/>
                <w:numId w:val="1"/>
              </w:numPr>
              <w:jc w:val="both"/>
              <w:rPr>
                <w:lang w:val="en-GB"/>
              </w:rPr>
            </w:pPr>
            <w:r>
              <w:rPr>
                <w:lang w:val="en-GB"/>
              </w:rPr>
              <w:t>Exports of goods are projected by the Ministry of Finance in discussion with IMF.</w:t>
            </w:r>
          </w:p>
          <w:p w14:paraId="52257C5D" w14:textId="77777777" w:rsidR="00406AB0" w:rsidRDefault="00406AB0" w:rsidP="00406AB0">
            <w:pPr>
              <w:pStyle w:val="Listbullet"/>
              <w:numPr>
                <w:ilvl w:val="0"/>
                <w:numId w:val="1"/>
              </w:numPr>
              <w:jc w:val="both"/>
              <w:rPr>
                <w:lang w:val="en-GB"/>
              </w:rPr>
            </w:pPr>
            <w:r>
              <w:rPr>
                <w:lang w:val="en-GB"/>
              </w:rPr>
              <w:t>Exports of services (mainly tourism) are projected by the Macroeconomic Department at the Ministry of Finance to grow at 10% per year.</w:t>
            </w:r>
          </w:p>
          <w:p w14:paraId="0320CB10" w14:textId="77777777" w:rsidR="00406AB0" w:rsidRDefault="00406AB0" w:rsidP="00406AB0">
            <w:pPr>
              <w:pStyle w:val="Listbullet"/>
              <w:numPr>
                <w:ilvl w:val="0"/>
                <w:numId w:val="1"/>
              </w:numPr>
              <w:jc w:val="both"/>
              <w:rPr>
                <w:lang w:val="en-GB"/>
              </w:rPr>
            </w:pPr>
            <w:r>
              <w:rPr>
                <w:lang w:val="en-GB"/>
              </w:rPr>
              <w:t>Government transfers to households are projected from budget and Medium-Term Budget Programme data.</w:t>
            </w:r>
          </w:p>
          <w:p w14:paraId="1C1ADF09" w14:textId="77777777" w:rsidR="00406AB0" w:rsidRDefault="00406AB0" w:rsidP="00406AB0">
            <w:pPr>
              <w:pStyle w:val="Listbullet"/>
              <w:numPr>
                <w:ilvl w:val="0"/>
                <w:numId w:val="1"/>
              </w:numPr>
              <w:jc w:val="both"/>
              <w:rPr>
                <w:lang w:val="en-GB"/>
              </w:rPr>
            </w:pPr>
            <w:r>
              <w:rPr>
                <w:lang w:val="en-GB"/>
              </w:rPr>
              <w:t>Private income from overseas (mainly remittances) is projected from Ministry of Finance and IMF figures.</w:t>
            </w:r>
          </w:p>
          <w:p w14:paraId="4DEB14EB" w14:textId="77777777" w:rsidR="00406AB0" w:rsidRDefault="00406AB0" w:rsidP="00406AB0">
            <w:pPr>
              <w:pStyle w:val="Listbullet"/>
              <w:numPr>
                <w:ilvl w:val="0"/>
                <w:numId w:val="1"/>
              </w:numPr>
              <w:jc w:val="both"/>
              <w:rPr>
                <w:lang w:val="en-GB"/>
              </w:rPr>
            </w:pPr>
            <w:r>
              <w:rPr>
                <w:lang w:val="en-GB"/>
              </w:rPr>
              <w:t>Independent projections are made of private investment and food consumption, leaving a residual of private income for other consumption goods.</w:t>
            </w:r>
          </w:p>
          <w:p w14:paraId="4E8E5223" w14:textId="77777777" w:rsidR="00406AB0" w:rsidRDefault="00406AB0" w:rsidP="00E964F6">
            <w:pPr>
              <w:pStyle w:val="BodyText"/>
              <w:rPr>
                <w:lang w:eastAsia="en-US"/>
              </w:rPr>
            </w:pPr>
            <w:r>
              <w:rPr>
                <w:lang w:eastAsia="en-US"/>
              </w:rPr>
              <w:t xml:space="preserve">The </w:t>
            </w:r>
            <w:proofErr w:type="spellStart"/>
            <w:r>
              <w:rPr>
                <w:lang w:eastAsia="en-US"/>
              </w:rPr>
              <w:t>sectoral</w:t>
            </w:r>
            <w:proofErr w:type="spellEnd"/>
            <w:r>
              <w:rPr>
                <w:lang w:eastAsia="en-US"/>
              </w:rPr>
              <w:t xml:space="preserve"> composition of each element of final demand is assumed to be constant. The model then uses input-output analysis to calculate the level of output which is necessary to produce the demand from these underlying forces. The input-output analysis also produces estimates of private income from domestic activity and of imports of goods and services, both to economic activities and for household consumption. The model then calculates government revenue, based on the tax incidence on economic activities. This provides a projected government deficit. Expenditure can then be re-specified and the model is run again, to achieve the desired deficit.</w:t>
            </w:r>
          </w:p>
        </w:tc>
      </w:tr>
    </w:tbl>
    <w:p w14:paraId="10815CC2" w14:textId="77777777" w:rsidR="00406AB0" w:rsidRDefault="00406AB0" w:rsidP="00406AB0">
      <w:pPr>
        <w:pStyle w:val="BodyText"/>
        <w:rPr>
          <w:lang w:eastAsia="en-US"/>
        </w:rPr>
      </w:pPr>
    </w:p>
    <w:p w14:paraId="4DD03D57" w14:textId="77777777" w:rsidR="00406AB0" w:rsidRDefault="00406AB0" w:rsidP="00406AB0">
      <w:pPr>
        <w:pStyle w:val="BodyText"/>
        <w:rPr>
          <w:lang w:eastAsia="en-US"/>
        </w:rPr>
      </w:pPr>
      <w:r>
        <w:rPr>
          <w:lang w:eastAsia="en-US"/>
        </w:rPr>
        <w:t xml:space="preserve">The government is currently working on medium term projections to 2008 and extending to some additional years. This work has initially been done using the Ministry of Finance macroeconomic model described above. However, extending the macro model to include a fuller picture of the </w:t>
      </w:r>
      <w:proofErr w:type="spellStart"/>
      <w:r>
        <w:rPr>
          <w:lang w:eastAsia="en-US"/>
        </w:rPr>
        <w:t>macroeconomy</w:t>
      </w:r>
      <w:proofErr w:type="spellEnd"/>
      <w:r>
        <w:rPr>
          <w:lang w:eastAsia="en-US"/>
        </w:rPr>
        <w:t xml:space="preserve"> has raised a number of issues, which are being debated within government bodies. In particular, the Ministry of Finance aims to compare the conclusions from the macroeconomic model with the conclusions from more typical macroeconomic consistency frameworks, such as those used by the IMF and the World Bank.</w:t>
      </w:r>
    </w:p>
    <w:p w14:paraId="48CE1BA8" w14:textId="77777777" w:rsidR="00406AB0" w:rsidRDefault="00406AB0" w:rsidP="00406AB0">
      <w:pPr>
        <w:pStyle w:val="BodyText"/>
        <w:rPr>
          <w:lang w:eastAsia="en-US"/>
        </w:rPr>
      </w:pPr>
      <w:r>
        <w:rPr>
          <w:lang w:eastAsia="en-US"/>
        </w:rPr>
        <w:t>The government is also working on the definition of a number of scenarios, which will help to illustrate the range of possible macroeconomic outcomes. This will help in setting revenue projections within a range, so that government expenditure can be planned to take place at different rates of progress.</w:t>
      </w:r>
    </w:p>
    <w:sectPr w:rsidR="00406AB0" w:rsidSect="00C43527">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953EE" w14:textId="77777777" w:rsidR="001335E3" w:rsidRDefault="001335E3" w:rsidP="00486795">
      <w:pPr>
        <w:spacing w:after="0"/>
      </w:pPr>
      <w:r>
        <w:separator/>
      </w:r>
    </w:p>
  </w:endnote>
  <w:endnote w:type="continuationSeparator" w:id="0">
    <w:p w14:paraId="4F10EB96" w14:textId="77777777" w:rsidR="001335E3" w:rsidRDefault="001335E3" w:rsidP="004867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DA8D" w14:textId="77777777" w:rsidR="002B0530" w:rsidRDefault="002B0530" w:rsidP="00D006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1FE88" w14:textId="77777777" w:rsidR="002B0530" w:rsidRDefault="002B0530" w:rsidP="002B05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FE056" w14:textId="77777777" w:rsidR="002B0530" w:rsidRDefault="002B0530" w:rsidP="00D006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2E0F00" w14:textId="77777777" w:rsidR="002B0530" w:rsidRDefault="002B0530" w:rsidP="002B05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622FC" w14:textId="77777777" w:rsidR="001335E3" w:rsidRDefault="001335E3" w:rsidP="00486795">
      <w:pPr>
        <w:spacing w:after="0"/>
      </w:pPr>
      <w:r>
        <w:separator/>
      </w:r>
    </w:p>
  </w:footnote>
  <w:footnote w:type="continuationSeparator" w:id="0">
    <w:p w14:paraId="65D440B3" w14:textId="77777777" w:rsidR="001335E3" w:rsidRDefault="001335E3" w:rsidP="0048679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7B18B" w14:textId="77777777" w:rsidR="00486795" w:rsidRPr="00486795" w:rsidRDefault="00486795">
    <w:pPr>
      <w:pStyle w:val="Header"/>
      <w:rPr>
        <w:lang w:val="it-IT"/>
      </w:rPr>
    </w:pPr>
    <w:r>
      <w:rPr>
        <w:lang w:val="it-IT"/>
      </w:rPr>
      <w:t>Albania</w:t>
    </w:r>
    <w:r w:rsidR="00C1658F">
      <w:rPr>
        <w:lang w:val="it-IT"/>
      </w:rPr>
      <w:t>:</w:t>
    </w:r>
    <w:r>
      <w:rPr>
        <w:lang w:val="it-IT"/>
      </w:rPr>
      <w:t xml:space="preserve"> MacroEconomic Conditions</w:t>
    </w:r>
    <w:r>
      <w:rPr>
        <w:lang w:val="it-IT"/>
      </w:rPr>
      <w:tab/>
    </w:r>
    <w:r>
      <w:rPr>
        <w:lang w:val="it-IT"/>
      </w:rPr>
      <w:tab/>
      <w:t>1998 - 2004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57877"/>
    <w:multiLevelType w:val="multilevel"/>
    <w:tmpl w:val="8F1C9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F673523"/>
    <w:multiLevelType w:val="hybridMultilevel"/>
    <w:tmpl w:val="A912B4F6"/>
    <w:lvl w:ilvl="0" w:tplc="B4141572">
      <w:start w:val="1"/>
      <w:numFmt w:val="bullet"/>
      <w:pStyle w:val="Listbullet"/>
      <w:lvlText w:val=""/>
      <w:lvlJc w:val="left"/>
      <w:pPr>
        <w:tabs>
          <w:tab w:val="num" w:pos="357"/>
        </w:tabs>
        <w:ind w:left="357" w:hanging="357"/>
      </w:pPr>
      <w:rPr>
        <w:rFonts w:ascii="Wingdings" w:hAnsi="Wingdings" w:hint="default"/>
        <w:lang w:val="en-GB"/>
      </w:rPr>
    </w:lvl>
    <w:lvl w:ilvl="1" w:tplc="01B6F63E" w:tentative="1">
      <w:start w:val="1"/>
      <w:numFmt w:val="bullet"/>
      <w:lvlText w:val="o"/>
      <w:lvlJc w:val="left"/>
      <w:pPr>
        <w:tabs>
          <w:tab w:val="num" w:pos="1440"/>
        </w:tabs>
        <w:ind w:left="1440" w:hanging="360"/>
      </w:pPr>
      <w:rPr>
        <w:rFonts w:ascii="Courier New" w:hAnsi="Courier New" w:cs="Courier New" w:hint="default"/>
      </w:rPr>
    </w:lvl>
    <w:lvl w:ilvl="2" w:tplc="4E98B4DA" w:tentative="1">
      <w:start w:val="1"/>
      <w:numFmt w:val="bullet"/>
      <w:lvlText w:val=""/>
      <w:lvlJc w:val="left"/>
      <w:pPr>
        <w:tabs>
          <w:tab w:val="num" w:pos="2160"/>
        </w:tabs>
        <w:ind w:left="2160" w:hanging="360"/>
      </w:pPr>
      <w:rPr>
        <w:rFonts w:ascii="Wingdings" w:hAnsi="Wingdings" w:hint="default"/>
      </w:rPr>
    </w:lvl>
    <w:lvl w:ilvl="3" w:tplc="AEB29898" w:tentative="1">
      <w:start w:val="1"/>
      <w:numFmt w:val="bullet"/>
      <w:lvlText w:val=""/>
      <w:lvlJc w:val="left"/>
      <w:pPr>
        <w:tabs>
          <w:tab w:val="num" w:pos="2880"/>
        </w:tabs>
        <w:ind w:left="2880" w:hanging="360"/>
      </w:pPr>
      <w:rPr>
        <w:rFonts w:ascii="Symbol" w:hAnsi="Symbol" w:hint="default"/>
      </w:rPr>
    </w:lvl>
    <w:lvl w:ilvl="4" w:tplc="6BBEE696" w:tentative="1">
      <w:start w:val="1"/>
      <w:numFmt w:val="bullet"/>
      <w:lvlText w:val="o"/>
      <w:lvlJc w:val="left"/>
      <w:pPr>
        <w:tabs>
          <w:tab w:val="num" w:pos="3600"/>
        </w:tabs>
        <w:ind w:left="3600" w:hanging="360"/>
      </w:pPr>
      <w:rPr>
        <w:rFonts w:ascii="Courier New" w:hAnsi="Courier New" w:cs="Courier New" w:hint="default"/>
      </w:rPr>
    </w:lvl>
    <w:lvl w:ilvl="5" w:tplc="AEF0A79C" w:tentative="1">
      <w:start w:val="1"/>
      <w:numFmt w:val="bullet"/>
      <w:lvlText w:val=""/>
      <w:lvlJc w:val="left"/>
      <w:pPr>
        <w:tabs>
          <w:tab w:val="num" w:pos="4320"/>
        </w:tabs>
        <w:ind w:left="4320" w:hanging="360"/>
      </w:pPr>
      <w:rPr>
        <w:rFonts w:ascii="Wingdings" w:hAnsi="Wingdings" w:hint="default"/>
      </w:rPr>
    </w:lvl>
    <w:lvl w:ilvl="6" w:tplc="9918A2AE" w:tentative="1">
      <w:start w:val="1"/>
      <w:numFmt w:val="bullet"/>
      <w:lvlText w:val=""/>
      <w:lvlJc w:val="left"/>
      <w:pPr>
        <w:tabs>
          <w:tab w:val="num" w:pos="5040"/>
        </w:tabs>
        <w:ind w:left="5040" w:hanging="360"/>
      </w:pPr>
      <w:rPr>
        <w:rFonts w:ascii="Symbol" w:hAnsi="Symbol" w:hint="default"/>
      </w:rPr>
    </w:lvl>
    <w:lvl w:ilvl="7" w:tplc="8CBA223E" w:tentative="1">
      <w:start w:val="1"/>
      <w:numFmt w:val="bullet"/>
      <w:lvlText w:val="o"/>
      <w:lvlJc w:val="left"/>
      <w:pPr>
        <w:tabs>
          <w:tab w:val="num" w:pos="5760"/>
        </w:tabs>
        <w:ind w:left="5760" w:hanging="360"/>
      </w:pPr>
      <w:rPr>
        <w:rFonts w:ascii="Courier New" w:hAnsi="Courier New" w:cs="Courier New" w:hint="default"/>
      </w:rPr>
    </w:lvl>
    <w:lvl w:ilvl="8" w:tplc="2A707E8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6795"/>
    <w:rsid w:val="001335E3"/>
    <w:rsid w:val="002B0530"/>
    <w:rsid w:val="0040503A"/>
    <w:rsid w:val="00406AB0"/>
    <w:rsid w:val="00437A91"/>
    <w:rsid w:val="00486795"/>
    <w:rsid w:val="00AA4F34"/>
    <w:rsid w:val="00C1658F"/>
    <w:rsid w:val="00C435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F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95"/>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486795"/>
    <w:pPr>
      <w:tabs>
        <w:tab w:val="left" w:pos="4962"/>
      </w:tabs>
      <w:jc w:val="both"/>
    </w:pPr>
    <w:rPr>
      <w:sz w:val="22"/>
    </w:rPr>
  </w:style>
  <w:style w:type="character" w:customStyle="1" w:styleId="BodyTextChar">
    <w:name w:val="Body Text Char"/>
    <w:basedOn w:val="DefaultParagraphFont"/>
    <w:link w:val="BodyText"/>
    <w:rsid w:val="00486795"/>
    <w:rPr>
      <w:rFonts w:ascii="Trebuchet MS" w:eastAsia="Times New Roman" w:hAnsi="Trebuchet MS" w:cs="Times New Roman"/>
      <w:szCs w:val="20"/>
      <w:lang w:val="en-GB" w:eastAsia="en-GB" w:bidi="ar-SA"/>
    </w:rPr>
  </w:style>
  <w:style w:type="paragraph" w:customStyle="1" w:styleId="Table">
    <w:name w:val="Table"/>
    <w:basedOn w:val="Normal"/>
    <w:next w:val="BodyText"/>
    <w:rsid w:val="00486795"/>
    <w:pPr>
      <w:keepNext/>
      <w:tabs>
        <w:tab w:val="num" w:pos="1008"/>
      </w:tabs>
      <w:spacing w:before="360"/>
      <w:ind w:left="1008" w:hanging="1008"/>
    </w:pPr>
    <w:rPr>
      <w:b/>
      <w:sz w:val="24"/>
    </w:rPr>
  </w:style>
  <w:style w:type="paragraph" w:customStyle="1" w:styleId="Figure">
    <w:name w:val="Figure"/>
    <w:basedOn w:val="Table"/>
    <w:next w:val="BodyText"/>
    <w:rsid w:val="00486795"/>
    <w:pPr>
      <w:tabs>
        <w:tab w:val="clear" w:pos="1008"/>
        <w:tab w:val="num" w:pos="1152"/>
      </w:tabs>
      <w:ind w:left="1152" w:hanging="1152"/>
    </w:pPr>
    <w:rPr>
      <w:lang w:eastAsia="en-US"/>
    </w:rPr>
  </w:style>
  <w:style w:type="paragraph" w:customStyle="1" w:styleId="SectionNUM">
    <w:name w:val="Section NUM"/>
    <w:next w:val="Heading1"/>
    <w:rsid w:val="00486795"/>
    <w:pPr>
      <w:keepNext/>
      <w:pageBreakBefore/>
      <w:numPr>
        <w:numId w:val="2"/>
      </w:numPr>
      <w:spacing w:after="240" w:line="240" w:lineRule="auto"/>
    </w:pPr>
    <w:rPr>
      <w:rFonts w:ascii="Trebuchet MS" w:eastAsia="Times New Roman" w:hAnsi="Trebuchet MS" w:cs="Times New Roman"/>
      <w:b/>
      <w:kern w:val="32"/>
      <w:sz w:val="36"/>
      <w:szCs w:val="20"/>
      <w:lang w:val="en-GB" w:bidi="ar-SA"/>
    </w:rPr>
  </w:style>
  <w:style w:type="paragraph" w:customStyle="1" w:styleId="TableText">
    <w:name w:val="Table Text"/>
    <w:basedOn w:val="BodyText"/>
    <w:rsid w:val="00486795"/>
    <w:pPr>
      <w:tabs>
        <w:tab w:val="clear" w:pos="4962"/>
      </w:tabs>
      <w:spacing w:before="40" w:after="40"/>
    </w:pPr>
    <w:rPr>
      <w:sz w:val="18"/>
      <w:lang w:eastAsia="en-US"/>
    </w:rPr>
  </w:style>
  <w:style w:type="paragraph" w:customStyle="1" w:styleId="Listbullet">
    <w:name w:val="List bullet"/>
    <w:basedOn w:val="Normal"/>
    <w:rsid w:val="00486795"/>
    <w:pPr>
      <w:numPr>
        <w:numId w:val="3"/>
      </w:numPr>
      <w:spacing w:after="120"/>
      <w:ind w:left="357" w:hanging="357"/>
    </w:pPr>
    <w:rPr>
      <w:sz w:val="22"/>
      <w:lang w:val="en-US" w:eastAsia="zh-CN"/>
    </w:rPr>
  </w:style>
  <w:style w:type="paragraph" w:customStyle="1" w:styleId="TableFootnote">
    <w:name w:val="Table Footnote"/>
    <w:basedOn w:val="Normal"/>
    <w:rsid w:val="00486795"/>
    <w:pPr>
      <w:spacing w:before="80"/>
      <w:contextualSpacing/>
    </w:pPr>
    <w:rPr>
      <w:sz w:val="18"/>
    </w:rPr>
  </w:style>
  <w:style w:type="paragraph" w:styleId="BalloonText">
    <w:name w:val="Balloon Text"/>
    <w:basedOn w:val="Normal"/>
    <w:link w:val="BalloonTextChar"/>
    <w:uiPriority w:val="99"/>
    <w:semiHidden/>
    <w:unhideWhenUsed/>
    <w:rsid w:val="004867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95"/>
    <w:rPr>
      <w:rFonts w:ascii="Tahoma" w:eastAsia="Times New Roman" w:hAnsi="Tahoma" w:cs="Tahoma"/>
      <w:sz w:val="16"/>
      <w:szCs w:val="16"/>
      <w:lang w:val="en-GB" w:eastAsia="en-GB" w:bidi="ar-SA"/>
    </w:rPr>
  </w:style>
  <w:style w:type="paragraph" w:styleId="Header">
    <w:name w:val="header"/>
    <w:basedOn w:val="Normal"/>
    <w:link w:val="HeaderChar"/>
    <w:uiPriority w:val="99"/>
    <w:unhideWhenUsed/>
    <w:rsid w:val="00486795"/>
    <w:pPr>
      <w:tabs>
        <w:tab w:val="center" w:pos="4513"/>
        <w:tab w:val="right" w:pos="9026"/>
      </w:tabs>
      <w:spacing w:after="0"/>
    </w:pPr>
  </w:style>
  <w:style w:type="character" w:customStyle="1" w:styleId="HeaderChar">
    <w:name w:val="Header Char"/>
    <w:basedOn w:val="DefaultParagraphFont"/>
    <w:link w:val="Header"/>
    <w:uiPriority w:val="99"/>
    <w:rsid w:val="00486795"/>
    <w:rPr>
      <w:rFonts w:ascii="Trebuchet MS" w:eastAsia="Times New Roman" w:hAnsi="Trebuchet MS" w:cs="Times New Roman"/>
      <w:sz w:val="20"/>
      <w:szCs w:val="20"/>
      <w:lang w:val="en-GB" w:eastAsia="en-GB" w:bidi="ar-SA"/>
    </w:rPr>
  </w:style>
  <w:style w:type="paragraph" w:styleId="Footer">
    <w:name w:val="footer"/>
    <w:basedOn w:val="Normal"/>
    <w:link w:val="FooterChar"/>
    <w:uiPriority w:val="99"/>
    <w:unhideWhenUsed/>
    <w:rsid w:val="00486795"/>
    <w:pPr>
      <w:tabs>
        <w:tab w:val="center" w:pos="4513"/>
        <w:tab w:val="right" w:pos="9026"/>
      </w:tabs>
      <w:spacing w:after="0"/>
    </w:pPr>
  </w:style>
  <w:style w:type="character" w:customStyle="1" w:styleId="FooterChar">
    <w:name w:val="Footer Char"/>
    <w:basedOn w:val="DefaultParagraphFont"/>
    <w:link w:val="Footer"/>
    <w:uiPriority w:val="99"/>
    <w:rsid w:val="00486795"/>
    <w:rPr>
      <w:rFonts w:ascii="Trebuchet MS" w:eastAsia="Times New Roman" w:hAnsi="Trebuchet MS" w:cs="Times New Roman"/>
      <w:sz w:val="20"/>
      <w:szCs w:val="20"/>
      <w:lang w:val="en-GB" w:eastAsia="en-GB" w:bidi="ar-SA"/>
    </w:rPr>
  </w:style>
  <w:style w:type="character" w:styleId="PageNumber">
    <w:name w:val="page number"/>
    <w:basedOn w:val="DefaultParagraphFont"/>
    <w:uiPriority w:val="99"/>
    <w:semiHidden/>
    <w:unhideWhenUsed/>
    <w:rsid w:val="002B05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2457</Words>
  <Characters>14009</Characters>
  <Application>Microsoft Macintosh Word</Application>
  <DocSecurity>0</DocSecurity>
  <Lines>116</Lines>
  <Paragraphs>32</Paragraphs>
  <ScaleCrop>false</ScaleCrop>
  <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Ardian Hackaj</cp:lastModifiedBy>
  <cp:revision>4</cp:revision>
  <dcterms:created xsi:type="dcterms:W3CDTF">2014-03-25T20:55:00Z</dcterms:created>
  <dcterms:modified xsi:type="dcterms:W3CDTF">2014-05-27T08:01:00Z</dcterms:modified>
</cp:coreProperties>
</file>