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BA" w:rsidRDefault="00CE6BBA" w:rsidP="00CE6BBA">
      <w:pPr>
        <w:pStyle w:val="AnnexSection"/>
        <w:numPr>
          <w:ilvl w:val="0"/>
          <w:numId w:val="0"/>
        </w:numPr>
        <w:ind w:left="432"/>
        <w:jc w:val="both"/>
      </w:pPr>
      <w:bookmarkStart w:id="0" w:name="_Ref104648956"/>
      <w:bookmarkStart w:id="1" w:name="_Toc109495224"/>
      <w:r>
        <w:t>Mid-term plan of priority actions</w:t>
      </w:r>
      <w:bookmarkEnd w:id="0"/>
      <w:bookmarkEnd w:id="1"/>
    </w:p>
    <w:p w:rsidR="00CE6BBA" w:rsidRDefault="00CE6BBA" w:rsidP="00CE6BBA">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CE6BBA" w:rsidRDefault="00CE6BBA" w:rsidP="00CE6BBA">
      <w:pPr>
        <w:pStyle w:val="BodyText"/>
      </w:pPr>
      <w:r>
        <w:rPr>
          <w:b/>
        </w:rPr>
        <w:t>Programme Policy Review</w:t>
      </w:r>
      <w:r>
        <w:t xml:space="preserve"> Ministries describe policy goals and objectives for each programme.</w:t>
      </w:r>
    </w:p>
    <w:p w:rsidR="00CE6BBA" w:rsidRDefault="00CE6BBA" w:rsidP="00CE6BBA">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CE6BBA" w:rsidRDefault="00CE6BBA" w:rsidP="00CE6BBA">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CE6BBA" w:rsidRDefault="00CE6BBA" w:rsidP="00CE6BBA">
      <w:pPr>
        <w:pStyle w:val="Listbullet"/>
        <w:jc w:val="both"/>
        <w:rPr>
          <w:lang w:val="en-GB"/>
        </w:rPr>
      </w:pPr>
      <w:r>
        <w:rPr>
          <w:lang w:val="en-GB"/>
        </w:rPr>
        <w:t xml:space="preserve">identified and described each of their expenditure programmes; </w:t>
      </w:r>
    </w:p>
    <w:p w:rsidR="00CE6BBA" w:rsidRDefault="00CE6BBA" w:rsidP="00CE6BBA">
      <w:pPr>
        <w:pStyle w:val="Listbullet"/>
        <w:jc w:val="both"/>
        <w:rPr>
          <w:lang w:val="en-GB"/>
        </w:rPr>
      </w:pPr>
      <w:r>
        <w:rPr>
          <w:lang w:val="en-GB"/>
        </w:rPr>
        <w:t>reviewed the policies relating to each expenditure programme to ensure that a programme policy statement can be written (or revised);</w:t>
      </w:r>
    </w:p>
    <w:p w:rsidR="00CE6BBA" w:rsidRDefault="00CE6BBA" w:rsidP="00CE6BBA">
      <w:pPr>
        <w:pStyle w:val="Listbullet"/>
        <w:jc w:val="both"/>
        <w:rPr>
          <w:lang w:val="en-GB"/>
        </w:rPr>
      </w:pPr>
      <w:r>
        <w:rPr>
          <w:lang w:val="en-GB"/>
        </w:rPr>
        <w:t>reviewed the policies so that they are consistent with and reflect wider national policies (NSSED, European integration, NATO accession); and</w:t>
      </w:r>
    </w:p>
    <w:p w:rsidR="00CE6BBA" w:rsidRDefault="00CE6BBA" w:rsidP="00CE6BBA">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CE6BBA" w:rsidRDefault="00CE6BBA" w:rsidP="00CE6BBA">
      <w:pPr>
        <w:pStyle w:val="BodyText"/>
      </w:pPr>
      <w:r>
        <w:t>The NSSED Department took part in the process through the MTBP Secretariat and reviews of the line ministry inputs for consistency with the national strategy.</w:t>
      </w:r>
    </w:p>
    <w:p w:rsidR="00CE6BBA" w:rsidRDefault="00CE6BBA" w:rsidP="00CE6BBA">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CE6BBA" w:rsidRDefault="00CE6BBA" w:rsidP="00CE6BBA">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CE6BBA" w:rsidRDefault="00CE6BBA" w:rsidP="00CE6BBA">
      <w:pPr>
        <w:pStyle w:val="AnnexSection"/>
        <w:numPr>
          <w:ilvl w:val="0"/>
          <w:numId w:val="0"/>
        </w:numPr>
        <w:ind w:left="432" w:hanging="432"/>
        <w:sectPr w:rsidR="00CE6BBA">
          <w:headerReference w:type="default" r:id="rId7"/>
          <w:footerReference w:type="default" r:id="rId8"/>
          <w:pgSz w:w="11906" w:h="16838" w:code="9"/>
          <w:pgMar w:top="1134" w:right="1134" w:bottom="1134" w:left="1134" w:header="431" w:footer="301" w:gutter="0"/>
          <w:pgNumType w:start="1"/>
          <w:cols w:space="720"/>
        </w:sectPr>
      </w:pPr>
    </w:p>
    <w:p w:rsidR="00CE6BBA" w:rsidRDefault="00CE6BBA" w:rsidP="00CE6BBA">
      <w:pPr>
        <w:pStyle w:val="AnnexH1"/>
      </w:pPr>
      <w:r>
        <w:lastRenderedPageBreak/>
        <w:t>Ministry of Local Government and Decentralisation</w:t>
      </w:r>
    </w:p>
    <w:p w:rsidR="00CE6BBA" w:rsidRDefault="00CE6BBA" w:rsidP="00CE6BBA">
      <w:pPr>
        <w:pStyle w:val="BodyText"/>
      </w:pPr>
      <w:r>
        <w:t>Programme 1: Planning, management, and administration</w:t>
      </w:r>
    </w:p>
    <w:p w:rsidR="00CE6BBA" w:rsidRDefault="00CE6BBA" w:rsidP="00CE6BBA">
      <w:pPr>
        <w:pStyle w:val="BodyText"/>
      </w:pPr>
      <w:r>
        <w:t>Policy objective: Set up the computerized address book for every local government units; increase the efficiency of Ministry of Local Government structures; prevent, manage and rehabilitate affected areas from fatalities to protecting citizen’s lives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CE6BBA" w:rsidTr="00E964F6">
        <w:trPr>
          <w:jc w:val="center"/>
        </w:trPr>
        <w:tc>
          <w:tcPr>
            <w:tcW w:w="5000" w:type="pct"/>
            <w:gridSpan w:val="4"/>
          </w:tcPr>
          <w:p w:rsidR="00CE6BBA" w:rsidRDefault="00CE6BBA" w:rsidP="00E964F6">
            <w:pPr>
              <w:pStyle w:val="AnnexTableText"/>
            </w:pPr>
            <w:r>
              <w:t>Activity 1: Addresses</w:t>
            </w:r>
          </w:p>
        </w:tc>
      </w:tr>
      <w:tr w:rsidR="00CE6BBA" w:rsidTr="00E964F6">
        <w:trPr>
          <w:jc w:val="center"/>
        </w:trPr>
        <w:tc>
          <w:tcPr>
            <w:tcW w:w="1250" w:type="pct"/>
          </w:tcPr>
          <w:p w:rsidR="00CE6BBA" w:rsidRDefault="00CE6BBA" w:rsidP="00E964F6">
            <w:pPr>
              <w:pStyle w:val="AnnexTableText"/>
            </w:pPr>
            <w:r>
              <w:t>Output Targets</w:t>
            </w:r>
          </w:p>
        </w:tc>
        <w:tc>
          <w:tcPr>
            <w:tcW w:w="1250" w:type="pct"/>
          </w:tcPr>
          <w:p w:rsidR="00CE6BBA" w:rsidRDefault="00CE6BBA" w:rsidP="00E964F6">
            <w:pPr>
              <w:pStyle w:val="AnnexTableText"/>
            </w:pPr>
            <w:r>
              <w:t>Current Situation</w:t>
            </w:r>
          </w:p>
        </w:tc>
        <w:tc>
          <w:tcPr>
            <w:tcW w:w="1250" w:type="pct"/>
          </w:tcPr>
          <w:p w:rsidR="00CE6BBA" w:rsidRDefault="00CE6BBA" w:rsidP="00E964F6">
            <w:pPr>
              <w:pStyle w:val="AnnexTableText"/>
            </w:pPr>
            <w:r>
              <w:t>Programme Reform Actions</w:t>
            </w:r>
          </w:p>
        </w:tc>
        <w:tc>
          <w:tcPr>
            <w:tcW w:w="1250" w:type="pct"/>
          </w:tcPr>
          <w:p w:rsidR="00CE6BBA" w:rsidRDefault="00CE6BBA" w:rsidP="00E964F6">
            <w:pPr>
              <w:pStyle w:val="AnnexTableText"/>
            </w:pPr>
            <w:r>
              <w:t>Budget Management Implications</w:t>
            </w:r>
          </w:p>
        </w:tc>
      </w:tr>
      <w:tr w:rsidR="00CE6BBA" w:rsidTr="00E964F6">
        <w:trPr>
          <w:jc w:val="center"/>
        </w:trPr>
        <w:tc>
          <w:tcPr>
            <w:tcW w:w="1250" w:type="pct"/>
          </w:tcPr>
          <w:p w:rsidR="00CE6BBA" w:rsidRDefault="00CE6BBA" w:rsidP="00E964F6">
            <w:pPr>
              <w:pStyle w:val="AnnexTableText"/>
            </w:pPr>
            <w:r>
              <w:t>Provide the locality addresses for all Albanian citizens.</w:t>
            </w:r>
          </w:p>
        </w:tc>
        <w:tc>
          <w:tcPr>
            <w:tcW w:w="1250" w:type="pct"/>
          </w:tcPr>
          <w:p w:rsidR="00CE6BBA" w:rsidRDefault="00CE6BBA" w:rsidP="00E964F6">
            <w:pPr>
              <w:pStyle w:val="AnnexTableText"/>
            </w:pPr>
            <w:r>
              <w:t>Decision-making process under way, denomination of squares has not yet been completed in two thirds of local government units.</w:t>
            </w:r>
          </w:p>
        </w:tc>
        <w:tc>
          <w:tcPr>
            <w:tcW w:w="1250" w:type="pct"/>
          </w:tcPr>
          <w:p w:rsidR="00CE6BBA" w:rsidRDefault="00CE6BBA" w:rsidP="00E964F6">
            <w:pPr>
              <w:pStyle w:val="AnnexTableText"/>
            </w:pPr>
            <w:r>
              <w:t>Compile sub-legal acts, orders, and functioning methodologies; modernise sector; update budget financial effects for 2005.</w:t>
            </w:r>
          </w:p>
        </w:tc>
        <w:tc>
          <w:tcPr>
            <w:tcW w:w="1250" w:type="pct"/>
          </w:tcPr>
          <w:p w:rsidR="00CE6BBA" w:rsidRDefault="00CE6BBA" w:rsidP="00E964F6">
            <w:pPr>
              <w:pStyle w:val="AnnexTableText"/>
            </w:pPr>
            <w:r>
              <w:t>The financial effect of this sector, which will consist of 5 people, is Lek 1.7 million annually.</w:t>
            </w:r>
          </w:p>
        </w:tc>
      </w:tr>
      <w:tr w:rsidR="00CE6BBA" w:rsidTr="00E964F6">
        <w:trPr>
          <w:jc w:val="center"/>
        </w:trPr>
        <w:tc>
          <w:tcPr>
            <w:tcW w:w="5000" w:type="pct"/>
            <w:gridSpan w:val="4"/>
          </w:tcPr>
          <w:p w:rsidR="00CE6BBA" w:rsidRDefault="00CE6BBA" w:rsidP="00E964F6">
            <w:pPr>
              <w:pStyle w:val="AnnexTableText"/>
            </w:pPr>
            <w:r>
              <w:t>Activity 2: Setting up the National Inspectorate of Civil Protection</w:t>
            </w:r>
          </w:p>
        </w:tc>
      </w:tr>
      <w:tr w:rsidR="00CE6BBA" w:rsidTr="00E964F6">
        <w:trPr>
          <w:jc w:val="center"/>
        </w:trPr>
        <w:tc>
          <w:tcPr>
            <w:tcW w:w="1250" w:type="pct"/>
          </w:tcPr>
          <w:p w:rsidR="00CE6BBA" w:rsidRDefault="00CE6BBA" w:rsidP="00E964F6">
            <w:pPr>
              <w:pStyle w:val="AnnexTableText"/>
            </w:pPr>
            <w:r>
              <w:t>Output Targets</w:t>
            </w:r>
          </w:p>
        </w:tc>
        <w:tc>
          <w:tcPr>
            <w:tcW w:w="1250" w:type="pct"/>
          </w:tcPr>
          <w:p w:rsidR="00CE6BBA" w:rsidRDefault="00CE6BBA" w:rsidP="00E964F6">
            <w:pPr>
              <w:pStyle w:val="AnnexTableText"/>
            </w:pPr>
            <w:r>
              <w:t>Current Situation</w:t>
            </w:r>
          </w:p>
        </w:tc>
        <w:tc>
          <w:tcPr>
            <w:tcW w:w="1250" w:type="pct"/>
          </w:tcPr>
          <w:p w:rsidR="00CE6BBA" w:rsidRDefault="00CE6BBA" w:rsidP="00E964F6">
            <w:pPr>
              <w:pStyle w:val="AnnexTableText"/>
            </w:pPr>
            <w:r>
              <w:t>Programme Reform Actions</w:t>
            </w:r>
          </w:p>
        </w:tc>
        <w:tc>
          <w:tcPr>
            <w:tcW w:w="1250" w:type="pct"/>
          </w:tcPr>
          <w:p w:rsidR="00CE6BBA" w:rsidRDefault="00CE6BBA" w:rsidP="00E964F6">
            <w:pPr>
              <w:pStyle w:val="AnnexTableText"/>
            </w:pPr>
            <w:r>
              <w:t>Budget Management Implications</w:t>
            </w:r>
          </w:p>
        </w:tc>
      </w:tr>
      <w:tr w:rsidR="00CE6BBA" w:rsidTr="00E964F6">
        <w:trPr>
          <w:jc w:val="center"/>
        </w:trPr>
        <w:tc>
          <w:tcPr>
            <w:tcW w:w="1250" w:type="pct"/>
          </w:tcPr>
          <w:p w:rsidR="00CE6BBA" w:rsidRDefault="00CE6BBA" w:rsidP="00E964F6">
            <w:pPr>
              <w:pStyle w:val="AnnexTableText"/>
            </w:pPr>
            <w:r>
              <w:t>Increase the security and prevent fatalities.</w:t>
            </w:r>
          </w:p>
        </w:tc>
        <w:tc>
          <w:tcPr>
            <w:tcW w:w="1250" w:type="pct"/>
          </w:tcPr>
          <w:p w:rsidR="00CE6BBA" w:rsidRDefault="00CE6BBA" w:rsidP="00E964F6">
            <w:pPr>
              <w:pStyle w:val="AnnexTableText"/>
            </w:pPr>
            <w:r>
              <w:t>A complete legal framework and many documents related to preparation of civil emergency staff already exist.</w:t>
            </w:r>
          </w:p>
        </w:tc>
        <w:tc>
          <w:tcPr>
            <w:tcW w:w="1250" w:type="pct"/>
          </w:tcPr>
          <w:p w:rsidR="00CE6BBA" w:rsidRDefault="00CE6BBA" w:rsidP="00E964F6">
            <w:pPr>
              <w:pStyle w:val="AnnexTableText"/>
            </w:pPr>
            <w:r>
              <w:t>Compile sub-legal acts, orders, and functioning methodologies.</w:t>
            </w:r>
          </w:p>
        </w:tc>
        <w:tc>
          <w:tcPr>
            <w:tcW w:w="1250" w:type="pct"/>
          </w:tcPr>
          <w:p w:rsidR="00CE6BBA" w:rsidRDefault="00CE6BBA" w:rsidP="00E964F6">
            <w:pPr>
              <w:pStyle w:val="AnnexTableText"/>
            </w:pPr>
            <w:r>
              <w:t>The financial effect of this sector, which will consist of 4 people, is Lek 1.7 million annually.</w:t>
            </w:r>
          </w:p>
        </w:tc>
      </w:tr>
    </w:tbl>
    <w:p w:rsidR="00CE6BBA" w:rsidRDefault="00CE6BBA" w:rsidP="00CE6BBA">
      <w:pPr>
        <w:pStyle w:val="BodyText"/>
      </w:pPr>
    </w:p>
    <w:p w:rsidR="00CE6BBA" w:rsidRDefault="00CE6BBA" w:rsidP="00CE6BBA">
      <w:pPr>
        <w:pStyle w:val="BodyText"/>
      </w:pPr>
      <w:r>
        <w:t>Programme 2: Civil Registry</w:t>
      </w:r>
    </w:p>
    <w:p w:rsidR="00CE6BBA" w:rsidRDefault="00CE6BBA" w:rsidP="00CE6BBA">
      <w:pPr>
        <w:pStyle w:val="BodyText"/>
      </w:pPr>
      <w:r>
        <w:t>Policy objective: Improve and approximate services to modern standards; set up and administer National Register of Civil Registry Office</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CE6BBA" w:rsidTr="00E964F6">
        <w:trPr>
          <w:jc w:val="center"/>
        </w:trPr>
        <w:tc>
          <w:tcPr>
            <w:tcW w:w="5000" w:type="pct"/>
            <w:gridSpan w:val="4"/>
          </w:tcPr>
          <w:p w:rsidR="00CE6BBA" w:rsidRDefault="00CE6BBA" w:rsidP="00E964F6">
            <w:pPr>
              <w:pStyle w:val="AnnexTableText"/>
            </w:pPr>
            <w:r>
              <w:t>Activity 1: Establish and enforce civil registry structures</w:t>
            </w:r>
          </w:p>
        </w:tc>
      </w:tr>
      <w:tr w:rsidR="00CE6BBA" w:rsidTr="00E964F6">
        <w:trPr>
          <w:jc w:val="center"/>
        </w:trPr>
        <w:tc>
          <w:tcPr>
            <w:tcW w:w="1250" w:type="pct"/>
          </w:tcPr>
          <w:p w:rsidR="00CE6BBA" w:rsidRDefault="00CE6BBA" w:rsidP="00E964F6">
            <w:pPr>
              <w:pStyle w:val="AnnexTableText"/>
            </w:pPr>
            <w:r>
              <w:t>Output Targets</w:t>
            </w:r>
          </w:p>
        </w:tc>
        <w:tc>
          <w:tcPr>
            <w:tcW w:w="1250" w:type="pct"/>
          </w:tcPr>
          <w:p w:rsidR="00CE6BBA" w:rsidRDefault="00CE6BBA" w:rsidP="00E964F6">
            <w:pPr>
              <w:pStyle w:val="AnnexTableText"/>
            </w:pPr>
            <w:r>
              <w:t>Current Situation</w:t>
            </w:r>
          </w:p>
        </w:tc>
        <w:tc>
          <w:tcPr>
            <w:tcW w:w="1250" w:type="pct"/>
          </w:tcPr>
          <w:p w:rsidR="00CE6BBA" w:rsidRDefault="00CE6BBA" w:rsidP="00E964F6">
            <w:pPr>
              <w:pStyle w:val="AnnexTableText"/>
            </w:pPr>
            <w:r>
              <w:t>Programme Reform Actions</w:t>
            </w:r>
          </w:p>
        </w:tc>
        <w:tc>
          <w:tcPr>
            <w:tcW w:w="1250" w:type="pct"/>
          </w:tcPr>
          <w:p w:rsidR="00CE6BBA" w:rsidRDefault="00CE6BBA" w:rsidP="00E964F6">
            <w:pPr>
              <w:pStyle w:val="AnnexTableText"/>
            </w:pPr>
            <w:r>
              <w:t>Budget Management Implications</w:t>
            </w:r>
          </w:p>
        </w:tc>
      </w:tr>
      <w:tr w:rsidR="00CE6BBA" w:rsidTr="00E964F6">
        <w:trPr>
          <w:jc w:val="center"/>
        </w:trPr>
        <w:tc>
          <w:tcPr>
            <w:tcW w:w="1250" w:type="pct"/>
          </w:tcPr>
          <w:p w:rsidR="00CE6BBA" w:rsidRDefault="00CE6BBA" w:rsidP="00E964F6">
            <w:pPr>
              <w:pStyle w:val="AnnexTableText"/>
            </w:pPr>
            <w:r>
              <w:t>Rapid service for all population through reducing service times.</w:t>
            </w:r>
          </w:p>
        </w:tc>
        <w:tc>
          <w:tcPr>
            <w:tcW w:w="1250" w:type="pct"/>
          </w:tcPr>
          <w:p w:rsidR="00CE6BBA" w:rsidRDefault="00CE6BBA" w:rsidP="00E964F6">
            <w:pPr>
              <w:pStyle w:val="AnnexTableText"/>
            </w:pPr>
            <w:r>
              <w:t>In local government units with high population, the services provided by the civil registry offices are not of high quality because they are understaffed.</w:t>
            </w:r>
          </w:p>
        </w:tc>
        <w:tc>
          <w:tcPr>
            <w:tcW w:w="1250" w:type="pct"/>
          </w:tcPr>
          <w:p w:rsidR="00CE6BBA" w:rsidRDefault="00CE6BBA" w:rsidP="00E964F6">
            <w:pPr>
              <w:pStyle w:val="AnnexTableText"/>
            </w:pPr>
            <w:r>
              <w:t>Draft sub-legal act to increase personnel.</w:t>
            </w:r>
          </w:p>
        </w:tc>
        <w:tc>
          <w:tcPr>
            <w:tcW w:w="1250" w:type="pct"/>
          </w:tcPr>
          <w:p w:rsidR="00CE6BBA" w:rsidRDefault="00CE6BBA" w:rsidP="00E964F6">
            <w:pPr>
              <w:pStyle w:val="AnnexTableText"/>
            </w:pPr>
            <w:r>
              <w:t>The financial effect for Increasing the number of the personnel of some units in some districts at about 43 persons is Lek 10.2 million annually.</w:t>
            </w:r>
          </w:p>
        </w:tc>
      </w:tr>
    </w:tbl>
    <w:p w:rsidR="00CE6BBA" w:rsidRDefault="00CE6BBA" w:rsidP="00CE6BBA">
      <w:pPr>
        <w:pStyle w:val="BodyText"/>
      </w:pPr>
    </w:p>
    <w:p w:rsidR="00C43527" w:rsidRDefault="00C43527"/>
    <w:sectPr w:rsidR="00C43527" w:rsidSect="00CE6BB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EC" w:rsidRDefault="00B320EC" w:rsidP="00CE6BBA">
      <w:pPr>
        <w:spacing w:after="0"/>
      </w:pPr>
      <w:r>
        <w:separator/>
      </w:r>
    </w:p>
  </w:endnote>
  <w:endnote w:type="continuationSeparator" w:id="0">
    <w:p w:rsidR="00B320EC" w:rsidRDefault="00B320EC" w:rsidP="00CE6B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B320EC">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CE6BBA">
      <w:rPr>
        <w:rStyle w:val="PageNumber"/>
        <w:rFonts w:eastAsiaTheme="majorEastAsia"/>
        <w:noProof/>
      </w:rPr>
      <w:t>2</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EC" w:rsidRDefault="00B320EC" w:rsidP="00CE6BBA">
      <w:pPr>
        <w:spacing w:after="0"/>
      </w:pPr>
      <w:r>
        <w:separator/>
      </w:r>
    </w:p>
  </w:footnote>
  <w:footnote w:type="continuationSeparator" w:id="0">
    <w:p w:rsidR="00B320EC" w:rsidRDefault="00B320EC" w:rsidP="00CE6B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B320EC">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CE6BBA">
      <w:rPr>
        <w:b w:val="0"/>
      </w:rPr>
      <w:t>Local Government and Decentralisation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E6BBA"/>
    <w:rsid w:val="0040503A"/>
    <w:rsid w:val="00437A91"/>
    <w:rsid w:val="00AA4F34"/>
    <w:rsid w:val="00B320EC"/>
    <w:rsid w:val="00C43527"/>
    <w:rsid w:val="00CE6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BA"/>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CE6BBA"/>
    <w:pPr>
      <w:tabs>
        <w:tab w:val="left" w:pos="4962"/>
      </w:tabs>
      <w:jc w:val="both"/>
    </w:pPr>
    <w:rPr>
      <w:sz w:val="22"/>
    </w:rPr>
  </w:style>
  <w:style w:type="character" w:customStyle="1" w:styleId="BodyTextChar">
    <w:name w:val="Body Text Char"/>
    <w:basedOn w:val="DefaultParagraphFont"/>
    <w:link w:val="BodyText"/>
    <w:rsid w:val="00CE6BBA"/>
    <w:rPr>
      <w:rFonts w:ascii="Trebuchet MS" w:eastAsia="Times New Roman" w:hAnsi="Trebuchet MS" w:cs="Times New Roman"/>
      <w:szCs w:val="20"/>
      <w:lang w:val="en-GB" w:eastAsia="en-GB" w:bidi="ar-SA"/>
    </w:rPr>
  </w:style>
  <w:style w:type="paragraph" w:styleId="Footer">
    <w:name w:val="footer"/>
    <w:basedOn w:val="Normal"/>
    <w:link w:val="FooterChar"/>
    <w:rsid w:val="00CE6BBA"/>
    <w:pPr>
      <w:tabs>
        <w:tab w:val="center" w:pos="4320"/>
        <w:tab w:val="right" w:pos="8640"/>
      </w:tabs>
    </w:pPr>
  </w:style>
  <w:style w:type="character" w:customStyle="1" w:styleId="FooterChar">
    <w:name w:val="Footer Char"/>
    <w:basedOn w:val="DefaultParagraphFont"/>
    <w:link w:val="Footer"/>
    <w:rsid w:val="00CE6BBA"/>
    <w:rPr>
      <w:rFonts w:ascii="Trebuchet MS" w:eastAsia="Times New Roman" w:hAnsi="Trebuchet MS" w:cs="Times New Roman"/>
      <w:sz w:val="20"/>
      <w:szCs w:val="20"/>
      <w:lang w:val="en-GB" w:eastAsia="en-GB" w:bidi="ar-SA"/>
    </w:rPr>
  </w:style>
  <w:style w:type="paragraph" w:styleId="Header">
    <w:name w:val="header"/>
    <w:basedOn w:val="Normal"/>
    <w:link w:val="HeaderChar"/>
    <w:rsid w:val="00CE6BBA"/>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CE6BBA"/>
    <w:rPr>
      <w:rFonts w:ascii="Trebuchet MS" w:eastAsia="Times" w:hAnsi="Trebuchet MS" w:cs="Times New Roman"/>
      <w:b/>
      <w:i/>
      <w:color w:val="000000"/>
      <w:sz w:val="20"/>
      <w:szCs w:val="20"/>
      <w:lang w:val="en-GB" w:eastAsia="en-GB" w:bidi="ar-SA"/>
    </w:rPr>
  </w:style>
  <w:style w:type="character" w:styleId="PageNumber">
    <w:name w:val="page number"/>
    <w:rsid w:val="00CE6BBA"/>
    <w:rPr>
      <w:rFonts w:ascii="Arial" w:hAnsi="Arial"/>
      <w:b/>
      <w:color w:val="000000"/>
      <w:sz w:val="20"/>
      <w:u w:val="none"/>
    </w:rPr>
  </w:style>
  <w:style w:type="paragraph" w:customStyle="1" w:styleId="AnnexH1">
    <w:name w:val="Annex H1"/>
    <w:rsid w:val="00CE6BBA"/>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CE6BBA"/>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CE6BBA"/>
    <w:pPr>
      <w:keepNext/>
      <w:numPr>
        <w:ilvl w:val="4"/>
        <w:numId w:val="1"/>
      </w:numPr>
      <w:spacing w:before="360"/>
    </w:pPr>
    <w:rPr>
      <w:b/>
      <w:sz w:val="24"/>
    </w:rPr>
  </w:style>
  <w:style w:type="paragraph" w:customStyle="1" w:styleId="Listbullet">
    <w:name w:val="List bullet"/>
    <w:basedOn w:val="Normal"/>
    <w:rsid w:val="00CE6BBA"/>
    <w:pPr>
      <w:numPr>
        <w:numId w:val="2"/>
      </w:numPr>
      <w:spacing w:after="120"/>
    </w:pPr>
    <w:rPr>
      <w:sz w:val="22"/>
      <w:lang w:val="en-US" w:eastAsia="zh-CN"/>
    </w:rPr>
  </w:style>
  <w:style w:type="paragraph" w:customStyle="1" w:styleId="AnnexTableText">
    <w:name w:val="Annex Table Text"/>
    <w:basedOn w:val="Normal"/>
    <w:rsid w:val="00CE6BBA"/>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2014-03-25T21:34:00Z</dcterms:created>
  <dcterms:modified xsi:type="dcterms:W3CDTF">2014-03-25T21:35:00Z</dcterms:modified>
</cp:coreProperties>
</file>