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21" w:rsidRDefault="009C5821" w:rsidP="009C5821">
      <w:pPr>
        <w:pStyle w:val="SectionNUM"/>
        <w:numPr>
          <w:ilvl w:val="0"/>
          <w:numId w:val="0"/>
        </w:numPr>
        <w:ind w:left="340"/>
      </w:pPr>
      <w:bookmarkStart w:id="0" w:name="_Ref104730644"/>
      <w:bookmarkStart w:id="1" w:name="_Toc109531462"/>
      <w:r>
        <w:t>Socioeconomic conditions</w:t>
      </w:r>
      <w:bookmarkEnd w:id="1"/>
    </w:p>
    <w:p w:rsidR="009C5821" w:rsidRDefault="009C5821" w:rsidP="009C5821">
      <w:pPr>
        <w:pStyle w:val="BodyText"/>
      </w:pPr>
      <w:r>
        <w:t xml:space="preserve">This section uses statistical data to look at some key aspects of socio-economic conditions in 2002 and 2003. The main point of interest is to update the poverty profile. Evidence on education, health, the labour market and utilities is also presented. The main source of information is the Living Standards Measurement Survey (LSMS) carried out by INSTAT. </w:t>
      </w:r>
    </w:p>
    <w:p w:rsidR="009C5821" w:rsidRDefault="009C5821" w:rsidP="009C5821">
      <w:pPr>
        <w:pStyle w:val="Heading1"/>
        <w:keepNext/>
        <w:numPr>
          <w:ilvl w:val="1"/>
          <w:numId w:val="0"/>
        </w:numPr>
        <w:tabs>
          <w:tab w:val="num" w:pos="576"/>
        </w:tabs>
        <w:spacing w:before="360" w:after="240"/>
        <w:ind w:left="576" w:hanging="576"/>
        <w:contextualSpacing w:val="0"/>
        <w:jc w:val="both"/>
      </w:pPr>
      <w:r>
        <w:t>Labour market</w:t>
      </w:r>
      <w:bookmarkEnd w:id="0"/>
    </w:p>
    <w:p w:rsidR="009C5821" w:rsidRDefault="009C5821" w:rsidP="009C5821">
      <w:pPr>
        <w:pStyle w:val="Heading3"/>
        <w:jc w:val="both"/>
      </w:pPr>
      <w:proofErr w:type="spellStart"/>
      <w:r>
        <w:t>Labour</w:t>
      </w:r>
      <w:proofErr w:type="spellEnd"/>
      <w:r>
        <w:t xml:space="preserve"> force participation</w:t>
      </w:r>
    </w:p>
    <w:p w:rsidR="009C5821" w:rsidRDefault="009C5821" w:rsidP="009C5821">
      <w:pPr>
        <w:pStyle w:val="BodyText"/>
      </w:pPr>
      <w:r>
        <w:t>The labour force in Albania was calculated to be 1.3 million in the 2001 Census or lower by 15% since 1989. The workforce lost more than a quarter of women and 5% of men. In 1989, there were only slight differences in labour force participation between men and women. By 2001, gender equality had disappeared, as only half of the adult women were active in the labour market and the proportion of inactive women had doubled. Labour force participation among men remained roughly the same but its composition changed as the share of the employed fell (61% relative to 71% in 1989) and the share of unemployed rose (14% relative to 6%). The size of the male labour force was reduced in absolute numbers as a result of emigration.</w:t>
      </w:r>
    </w:p>
    <w:p w:rsidR="009C5821" w:rsidRDefault="009C5821" w:rsidP="009C5821">
      <w:pPr>
        <w:pStyle w:val="Table"/>
        <w:numPr>
          <w:ilvl w:val="4"/>
          <w:numId w:val="0"/>
        </w:numPr>
        <w:tabs>
          <w:tab w:val="num" w:pos="1008"/>
        </w:tabs>
        <w:ind w:left="1008" w:hanging="1008"/>
        <w:jc w:val="both"/>
      </w:pPr>
      <w:bookmarkStart w:id="2" w:name="_Ref104173557"/>
      <w:bookmarkStart w:id="3" w:name="_Toc109495236"/>
      <w:r>
        <w:t>Labour force participation according to the 1989 and 2001 Census</w:t>
      </w:r>
      <w:bookmarkEnd w:id="2"/>
      <w:bookmarkEnd w:id="3"/>
    </w:p>
    <w:tbl>
      <w:tblPr>
        <w:tblW w:w="0" w:type="auto"/>
        <w:tblLook w:val="01E0"/>
      </w:tblPr>
      <w:tblGrid>
        <w:gridCol w:w="2835"/>
        <w:gridCol w:w="992"/>
        <w:gridCol w:w="992"/>
        <w:gridCol w:w="992"/>
        <w:gridCol w:w="284"/>
        <w:gridCol w:w="992"/>
        <w:gridCol w:w="992"/>
        <w:gridCol w:w="992"/>
      </w:tblGrid>
      <w:tr w:rsidR="009C5821" w:rsidTr="00E964F6">
        <w:tc>
          <w:tcPr>
            <w:tcW w:w="2835" w:type="dxa"/>
            <w:tcBorders>
              <w:top w:val="single" w:sz="4" w:space="0" w:color="auto"/>
            </w:tcBorders>
          </w:tcPr>
          <w:p w:rsidR="009C5821" w:rsidRDefault="009C5821" w:rsidP="00E964F6">
            <w:pPr>
              <w:pStyle w:val="TableText"/>
            </w:pPr>
          </w:p>
        </w:tc>
        <w:tc>
          <w:tcPr>
            <w:tcW w:w="992" w:type="dxa"/>
            <w:tcBorders>
              <w:top w:val="single" w:sz="4" w:space="0" w:color="auto"/>
            </w:tcBorders>
          </w:tcPr>
          <w:p w:rsidR="009C5821" w:rsidRDefault="009C5821" w:rsidP="00E964F6">
            <w:pPr>
              <w:pStyle w:val="TableText"/>
            </w:pPr>
          </w:p>
        </w:tc>
        <w:tc>
          <w:tcPr>
            <w:tcW w:w="992" w:type="dxa"/>
            <w:tcBorders>
              <w:top w:val="single" w:sz="4" w:space="0" w:color="auto"/>
            </w:tcBorders>
          </w:tcPr>
          <w:p w:rsidR="009C5821" w:rsidRDefault="009C5821" w:rsidP="00E964F6">
            <w:pPr>
              <w:pStyle w:val="TableText"/>
            </w:pPr>
            <w:r>
              <w:t>1989</w:t>
            </w:r>
          </w:p>
        </w:tc>
        <w:tc>
          <w:tcPr>
            <w:tcW w:w="992" w:type="dxa"/>
            <w:tcBorders>
              <w:top w:val="single" w:sz="4" w:space="0" w:color="auto"/>
            </w:tcBorders>
          </w:tcPr>
          <w:p w:rsidR="009C5821" w:rsidRDefault="009C5821" w:rsidP="00E964F6">
            <w:pPr>
              <w:pStyle w:val="TableText"/>
            </w:pPr>
          </w:p>
        </w:tc>
        <w:tc>
          <w:tcPr>
            <w:tcW w:w="284" w:type="dxa"/>
            <w:tcBorders>
              <w:top w:val="single" w:sz="4" w:space="0" w:color="auto"/>
            </w:tcBorders>
          </w:tcPr>
          <w:p w:rsidR="009C5821" w:rsidRDefault="009C5821" w:rsidP="00E964F6">
            <w:pPr>
              <w:pStyle w:val="TableText"/>
            </w:pPr>
          </w:p>
        </w:tc>
        <w:tc>
          <w:tcPr>
            <w:tcW w:w="992" w:type="dxa"/>
            <w:tcBorders>
              <w:top w:val="single" w:sz="4" w:space="0" w:color="auto"/>
            </w:tcBorders>
          </w:tcPr>
          <w:p w:rsidR="009C5821" w:rsidRDefault="009C5821" w:rsidP="00E964F6">
            <w:pPr>
              <w:pStyle w:val="TableText"/>
            </w:pPr>
          </w:p>
        </w:tc>
        <w:tc>
          <w:tcPr>
            <w:tcW w:w="992" w:type="dxa"/>
            <w:tcBorders>
              <w:top w:val="single" w:sz="4" w:space="0" w:color="auto"/>
            </w:tcBorders>
          </w:tcPr>
          <w:p w:rsidR="009C5821" w:rsidRDefault="009C5821" w:rsidP="00E964F6">
            <w:pPr>
              <w:pStyle w:val="TableText"/>
            </w:pPr>
            <w:r>
              <w:t>2001</w:t>
            </w:r>
          </w:p>
        </w:tc>
        <w:tc>
          <w:tcPr>
            <w:tcW w:w="992" w:type="dxa"/>
            <w:tcBorders>
              <w:top w:val="single" w:sz="4" w:space="0" w:color="auto"/>
            </w:tcBorders>
          </w:tcPr>
          <w:p w:rsidR="009C5821" w:rsidRDefault="009C5821" w:rsidP="00E964F6">
            <w:pPr>
              <w:pStyle w:val="TableText"/>
            </w:pPr>
          </w:p>
        </w:tc>
      </w:tr>
      <w:tr w:rsidR="009C5821" w:rsidTr="00E964F6">
        <w:tc>
          <w:tcPr>
            <w:tcW w:w="2835" w:type="dxa"/>
          </w:tcPr>
          <w:p w:rsidR="009C5821" w:rsidRDefault="009C5821" w:rsidP="00E964F6">
            <w:pPr>
              <w:pStyle w:val="TableText"/>
            </w:pPr>
          </w:p>
        </w:tc>
        <w:tc>
          <w:tcPr>
            <w:tcW w:w="992" w:type="dxa"/>
            <w:tcBorders>
              <w:bottom w:val="single" w:sz="4" w:space="0" w:color="auto"/>
            </w:tcBorders>
          </w:tcPr>
          <w:p w:rsidR="009C5821" w:rsidRDefault="009C5821" w:rsidP="00E964F6">
            <w:pPr>
              <w:pStyle w:val="TableText"/>
            </w:pPr>
            <w:r>
              <w:t>Male</w:t>
            </w:r>
          </w:p>
        </w:tc>
        <w:tc>
          <w:tcPr>
            <w:tcW w:w="992" w:type="dxa"/>
            <w:tcBorders>
              <w:bottom w:val="single" w:sz="4" w:space="0" w:color="auto"/>
            </w:tcBorders>
          </w:tcPr>
          <w:p w:rsidR="009C5821" w:rsidRDefault="009C5821" w:rsidP="00E964F6">
            <w:pPr>
              <w:pStyle w:val="TableText"/>
            </w:pPr>
            <w:r>
              <w:t>Female</w:t>
            </w:r>
          </w:p>
        </w:tc>
        <w:tc>
          <w:tcPr>
            <w:tcW w:w="992" w:type="dxa"/>
            <w:tcBorders>
              <w:bottom w:val="single" w:sz="4" w:space="0" w:color="auto"/>
            </w:tcBorders>
          </w:tcPr>
          <w:p w:rsidR="009C5821" w:rsidRDefault="009C5821" w:rsidP="00E964F6">
            <w:pPr>
              <w:pStyle w:val="TableText"/>
            </w:pPr>
            <w:r>
              <w:t>Total</w:t>
            </w:r>
          </w:p>
        </w:tc>
        <w:tc>
          <w:tcPr>
            <w:tcW w:w="284" w:type="dxa"/>
          </w:tcPr>
          <w:p w:rsidR="009C5821" w:rsidRDefault="009C5821" w:rsidP="00E964F6">
            <w:pPr>
              <w:pStyle w:val="TableText"/>
            </w:pPr>
          </w:p>
        </w:tc>
        <w:tc>
          <w:tcPr>
            <w:tcW w:w="992" w:type="dxa"/>
            <w:tcBorders>
              <w:bottom w:val="single" w:sz="4" w:space="0" w:color="auto"/>
            </w:tcBorders>
          </w:tcPr>
          <w:p w:rsidR="009C5821" w:rsidRDefault="009C5821" w:rsidP="00E964F6">
            <w:pPr>
              <w:pStyle w:val="TableText"/>
            </w:pPr>
            <w:r>
              <w:t>Male</w:t>
            </w:r>
          </w:p>
        </w:tc>
        <w:tc>
          <w:tcPr>
            <w:tcW w:w="992" w:type="dxa"/>
            <w:tcBorders>
              <w:bottom w:val="single" w:sz="4" w:space="0" w:color="auto"/>
            </w:tcBorders>
          </w:tcPr>
          <w:p w:rsidR="009C5821" w:rsidRDefault="009C5821" w:rsidP="00E964F6">
            <w:pPr>
              <w:pStyle w:val="TableText"/>
            </w:pPr>
            <w:r>
              <w:t>Female</w:t>
            </w:r>
          </w:p>
        </w:tc>
        <w:tc>
          <w:tcPr>
            <w:tcW w:w="992" w:type="dxa"/>
            <w:tcBorders>
              <w:bottom w:val="single" w:sz="4" w:space="0" w:color="auto"/>
            </w:tcBorders>
          </w:tcPr>
          <w:p w:rsidR="009C5821" w:rsidRDefault="009C5821" w:rsidP="00E964F6">
            <w:pPr>
              <w:pStyle w:val="TableText"/>
            </w:pPr>
            <w:r>
              <w:t>Total</w:t>
            </w:r>
          </w:p>
        </w:tc>
      </w:tr>
      <w:tr w:rsidR="009C5821" w:rsidTr="00E964F6">
        <w:tc>
          <w:tcPr>
            <w:tcW w:w="2835" w:type="dxa"/>
          </w:tcPr>
          <w:p w:rsidR="009C5821" w:rsidRDefault="009C5821" w:rsidP="00E964F6">
            <w:pPr>
              <w:pStyle w:val="TableText"/>
            </w:pPr>
            <w:r>
              <w:t>In thousand</w:t>
            </w:r>
          </w:p>
        </w:tc>
        <w:tc>
          <w:tcPr>
            <w:tcW w:w="992" w:type="dxa"/>
            <w:tcBorders>
              <w:top w:val="single" w:sz="4" w:space="0" w:color="auto"/>
            </w:tcBorders>
          </w:tcPr>
          <w:p w:rsidR="009C5821" w:rsidRDefault="009C5821" w:rsidP="00E964F6">
            <w:pPr>
              <w:pStyle w:val="TableText"/>
            </w:pPr>
          </w:p>
        </w:tc>
        <w:tc>
          <w:tcPr>
            <w:tcW w:w="992" w:type="dxa"/>
            <w:tcBorders>
              <w:top w:val="single" w:sz="4" w:space="0" w:color="auto"/>
            </w:tcBorders>
          </w:tcPr>
          <w:p w:rsidR="009C5821" w:rsidRDefault="009C5821" w:rsidP="00E964F6">
            <w:pPr>
              <w:pStyle w:val="TableText"/>
            </w:pPr>
          </w:p>
        </w:tc>
        <w:tc>
          <w:tcPr>
            <w:tcW w:w="992" w:type="dxa"/>
            <w:tcBorders>
              <w:top w:val="single" w:sz="4" w:space="0" w:color="auto"/>
            </w:tcBorders>
          </w:tcPr>
          <w:p w:rsidR="009C5821" w:rsidRDefault="009C5821" w:rsidP="00E964F6">
            <w:pPr>
              <w:pStyle w:val="TableText"/>
            </w:pPr>
          </w:p>
        </w:tc>
        <w:tc>
          <w:tcPr>
            <w:tcW w:w="284" w:type="dxa"/>
          </w:tcPr>
          <w:p w:rsidR="009C5821" w:rsidRDefault="009C5821" w:rsidP="00E964F6">
            <w:pPr>
              <w:pStyle w:val="TableText"/>
            </w:pPr>
          </w:p>
        </w:tc>
        <w:tc>
          <w:tcPr>
            <w:tcW w:w="992" w:type="dxa"/>
            <w:tcBorders>
              <w:top w:val="single" w:sz="4" w:space="0" w:color="auto"/>
            </w:tcBorders>
          </w:tcPr>
          <w:p w:rsidR="009C5821" w:rsidRDefault="009C5821" w:rsidP="00E964F6">
            <w:pPr>
              <w:pStyle w:val="TableText"/>
            </w:pPr>
          </w:p>
        </w:tc>
        <w:tc>
          <w:tcPr>
            <w:tcW w:w="992" w:type="dxa"/>
            <w:tcBorders>
              <w:top w:val="single" w:sz="4" w:space="0" w:color="auto"/>
            </w:tcBorders>
          </w:tcPr>
          <w:p w:rsidR="009C5821" w:rsidRDefault="009C5821" w:rsidP="00E964F6">
            <w:pPr>
              <w:pStyle w:val="TableText"/>
            </w:pPr>
          </w:p>
        </w:tc>
        <w:tc>
          <w:tcPr>
            <w:tcW w:w="992" w:type="dxa"/>
            <w:tcBorders>
              <w:top w:val="single" w:sz="4" w:space="0" w:color="auto"/>
            </w:tcBorders>
          </w:tcPr>
          <w:p w:rsidR="009C5821" w:rsidRDefault="009C5821" w:rsidP="00E964F6">
            <w:pPr>
              <w:pStyle w:val="TableText"/>
            </w:pPr>
          </w:p>
        </w:tc>
      </w:tr>
      <w:tr w:rsidR="009C5821" w:rsidTr="00E964F6">
        <w:tc>
          <w:tcPr>
            <w:tcW w:w="2835" w:type="dxa"/>
          </w:tcPr>
          <w:p w:rsidR="009C5821" w:rsidRDefault="009C5821" w:rsidP="00E964F6">
            <w:pPr>
              <w:pStyle w:val="TableText"/>
            </w:pPr>
            <w:r>
              <w:t>Employed</w:t>
            </w:r>
          </w:p>
        </w:tc>
        <w:tc>
          <w:tcPr>
            <w:tcW w:w="992" w:type="dxa"/>
          </w:tcPr>
          <w:p w:rsidR="009C5821" w:rsidRDefault="009C5821" w:rsidP="00E964F6">
            <w:pPr>
              <w:pStyle w:val="TableText"/>
            </w:pPr>
            <w:r>
              <w:t>779</w:t>
            </w:r>
          </w:p>
        </w:tc>
        <w:tc>
          <w:tcPr>
            <w:tcW w:w="992" w:type="dxa"/>
          </w:tcPr>
          <w:p w:rsidR="009C5821" w:rsidRDefault="009C5821" w:rsidP="00E964F6">
            <w:pPr>
              <w:pStyle w:val="TableText"/>
            </w:pPr>
            <w:r>
              <w:t>664</w:t>
            </w:r>
          </w:p>
        </w:tc>
        <w:tc>
          <w:tcPr>
            <w:tcW w:w="992" w:type="dxa"/>
          </w:tcPr>
          <w:p w:rsidR="009C5821" w:rsidRDefault="009C5821" w:rsidP="00E964F6">
            <w:pPr>
              <w:pStyle w:val="TableText"/>
            </w:pPr>
            <w:r>
              <w:t>1443</w:t>
            </w:r>
          </w:p>
        </w:tc>
        <w:tc>
          <w:tcPr>
            <w:tcW w:w="284" w:type="dxa"/>
          </w:tcPr>
          <w:p w:rsidR="009C5821" w:rsidRDefault="009C5821" w:rsidP="00E964F6">
            <w:pPr>
              <w:pStyle w:val="TableText"/>
            </w:pPr>
          </w:p>
        </w:tc>
        <w:tc>
          <w:tcPr>
            <w:tcW w:w="992" w:type="dxa"/>
          </w:tcPr>
          <w:p w:rsidR="009C5821" w:rsidRDefault="009C5821" w:rsidP="00E964F6">
            <w:pPr>
              <w:pStyle w:val="TableText"/>
            </w:pPr>
            <w:r>
              <w:t>650</w:t>
            </w:r>
          </w:p>
        </w:tc>
        <w:tc>
          <w:tcPr>
            <w:tcW w:w="992" w:type="dxa"/>
          </w:tcPr>
          <w:p w:rsidR="009C5821" w:rsidRDefault="009C5821" w:rsidP="00E964F6">
            <w:pPr>
              <w:pStyle w:val="TableText"/>
            </w:pPr>
            <w:r>
              <w:t>392</w:t>
            </w:r>
          </w:p>
        </w:tc>
        <w:tc>
          <w:tcPr>
            <w:tcW w:w="992" w:type="dxa"/>
          </w:tcPr>
          <w:p w:rsidR="009C5821" w:rsidRDefault="009C5821" w:rsidP="00E964F6">
            <w:pPr>
              <w:pStyle w:val="TableText"/>
            </w:pPr>
            <w:r>
              <w:t>1042</w:t>
            </w:r>
          </w:p>
        </w:tc>
      </w:tr>
      <w:tr w:rsidR="009C5821" w:rsidTr="00E964F6">
        <w:tc>
          <w:tcPr>
            <w:tcW w:w="2835" w:type="dxa"/>
          </w:tcPr>
          <w:p w:rsidR="009C5821" w:rsidRDefault="009C5821" w:rsidP="00E964F6">
            <w:pPr>
              <w:pStyle w:val="TableText"/>
            </w:pPr>
            <w:r>
              <w:t>Unemployed</w:t>
            </w:r>
          </w:p>
        </w:tc>
        <w:tc>
          <w:tcPr>
            <w:tcW w:w="992" w:type="dxa"/>
          </w:tcPr>
          <w:p w:rsidR="009C5821" w:rsidRDefault="009C5821" w:rsidP="00E964F6">
            <w:pPr>
              <w:pStyle w:val="TableText"/>
            </w:pPr>
            <w:r>
              <w:t>62</w:t>
            </w:r>
          </w:p>
        </w:tc>
        <w:tc>
          <w:tcPr>
            <w:tcW w:w="992" w:type="dxa"/>
          </w:tcPr>
          <w:p w:rsidR="009C5821" w:rsidRDefault="009C5821" w:rsidP="00E964F6">
            <w:pPr>
              <w:pStyle w:val="TableText"/>
            </w:pPr>
            <w:r>
              <w:t>94</w:t>
            </w:r>
          </w:p>
        </w:tc>
        <w:tc>
          <w:tcPr>
            <w:tcW w:w="992" w:type="dxa"/>
          </w:tcPr>
          <w:p w:rsidR="009C5821" w:rsidRDefault="009C5821" w:rsidP="00E964F6">
            <w:pPr>
              <w:pStyle w:val="TableText"/>
            </w:pPr>
            <w:r>
              <w:t>157</w:t>
            </w:r>
          </w:p>
        </w:tc>
        <w:tc>
          <w:tcPr>
            <w:tcW w:w="284" w:type="dxa"/>
          </w:tcPr>
          <w:p w:rsidR="009C5821" w:rsidRDefault="009C5821" w:rsidP="00E964F6">
            <w:pPr>
              <w:pStyle w:val="TableText"/>
            </w:pPr>
          </w:p>
        </w:tc>
        <w:tc>
          <w:tcPr>
            <w:tcW w:w="992" w:type="dxa"/>
          </w:tcPr>
          <w:p w:rsidR="009C5821" w:rsidRDefault="009C5821" w:rsidP="00E964F6">
            <w:pPr>
              <w:pStyle w:val="TableText"/>
            </w:pPr>
            <w:r>
              <w:t>150</w:t>
            </w:r>
          </w:p>
        </w:tc>
        <w:tc>
          <w:tcPr>
            <w:tcW w:w="992" w:type="dxa"/>
          </w:tcPr>
          <w:p w:rsidR="009C5821" w:rsidRDefault="009C5821" w:rsidP="00E964F6">
            <w:pPr>
              <w:pStyle w:val="TableText"/>
            </w:pPr>
            <w:r>
              <w:t>155</w:t>
            </w:r>
          </w:p>
        </w:tc>
        <w:tc>
          <w:tcPr>
            <w:tcW w:w="992" w:type="dxa"/>
          </w:tcPr>
          <w:p w:rsidR="009C5821" w:rsidRDefault="009C5821" w:rsidP="00E964F6">
            <w:pPr>
              <w:pStyle w:val="TableText"/>
            </w:pPr>
            <w:r>
              <w:t>306</w:t>
            </w:r>
          </w:p>
        </w:tc>
      </w:tr>
      <w:tr w:rsidR="009C5821" w:rsidTr="00E964F6">
        <w:tc>
          <w:tcPr>
            <w:tcW w:w="2835" w:type="dxa"/>
          </w:tcPr>
          <w:p w:rsidR="009C5821" w:rsidRDefault="009C5821" w:rsidP="00E964F6">
            <w:pPr>
              <w:pStyle w:val="TableText"/>
            </w:pPr>
            <w:r>
              <w:t>Total active</w:t>
            </w:r>
          </w:p>
        </w:tc>
        <w:tc>
          <w:tcPr>
            <w:tcW w:w="992" w:type="dxa"/>
          </w:tcPr>
          <w:p w:rsidR="009C5821" w:rsidRDefault="009C5821" w:rsidP="00E964F6">
            <w:pPr>
              <w:pStyle w:val="TableText"/>
            </w:pPr>
            <w:r>
              <w:t>842</w:t>
            </w:r>
          </w:p>
        </w:tc>
        <w:tc>
          <w:tcPr>
            <w:tcW w:w="992" w:type="dxa"/>
          </w:tcPr>
          <w:p w:rsidR="009C5821" w:rsidRDefault="009C5821" w:rsidP="00E964F6">
            <w:pPr>
              <w:pStyle w:val="TableText"/>
            </w:pPr>
            <w:r>
              <w:t>758</w:t>
            </w:r>
          </w:p>
        </w:tc>
        <w:tc>
          <w:tcPr>
            <w:tcW w:w="992" w:type="dxa"/>
          </w:tcPr>
          <w:p w:rsidR="009C5821" w:rsidRDefault="009C5821" w:rsidP="00E964F6">
            <w:pPr>
              <w:pStyle w:val="TableText"/>
            </w:pPr>
            <w:r>
              <w:t>1600</w:t>
            </w:r>
          </w:p>
        </w:tc>
        <w:tc>
          <w:tcPr>
            <w:tcW w:w="284" w:type="dxa"/>
          </w:tcPr>
          <w:p w:rsidR="009C5821" w:rsidRDefault="009C5821" w:rsidP="00E964F6">
            <w:pPr>
              <w:pStyle w:val="TableText"/>
            </w:pPr>
          </w:p>
        </w:tc>
        <w:tc>
          <w:tcPr>
            <w:tcW w:w="992" w:type="dxa"/>
          </w:tcPr>
          <w:p w:rsidR="009C5821" w:rsidRDefault="009C5821" w:rsidP="00E964F6">
            <w:pPr>
              <w:pStyle w:val="TableText"/>
            </w:pPr>
            <w:r>
              <w:t>800</w:t>
            </w:r>
          </w:p>
        </w:tc>
        <w:tc>
          <w:tcPr>
            <w:tcW w:w="992" w:type="dxa"/>
          </w:tcPr>
          <w:p w:rsidR="009C5821" w:rsidRDefault="009C5821" w:rsidP="00E964F6">
            <w:pPr>
              <w:pStyle w:val="TableText"/>
            </w:pPr>
            <w:r>
              <w:t>548</w:t>
            </w:r>
          </w:p>
        </w:tc>
        <w:tc>
          <w:tcPr>
            <w:tcW w:w="992" w:type="dxa"/>
          </w:tcPr>
          <w:p w:rsidR="009C5821" w:rsidRDefault="009C5821" w:rsidP="00E964F6">
            <w:pPr>
              <w:pStyle w:val="TableText"/>
            </w:pPr>
            <w:r>
              <w:t>1347</w:t>
            </w:r>
          </w:p>
        </w:tc>
      </w:tr>
      <w:tr w:rsidR="009C5821" w:rsidTr="00E964F6">
        <w:tc>
          <w:tcPr>
            <w:tcW w:w="2835" w:type="dxa"/>
          </w:tcPr>
          <w:p w:rsidR="009C5821" w:rsidRDefault="009C5821" w:rsidP="00E964F6">
            <w:pPr>
              <w:pStyle w:val="TableText"/>
            </w:pPr>
            <w:r>
              <w:t>Inactive</w:t>
            </w:r>
          </w:p>
        </w:tc>
        <w:tc>
          <w:tcPr>
            <w:tcW w:w="992" w:type="dxa"/>
          </w:tcPr>
          <w:p w:rsidR="009C5821" w:rsidRDefault="009C5821" w:rsidP="00E964F6">
            <w:pPr>
              <w:pStyle w:val="TableText"/>
            </w:pPr>
            <w:r>
              <w:t>249</w:t>
            </w:r>
          </w:p>
        </w:tc>
        <w:tc>
          <w:tcPr>
            <w:tcW w:w="992" w:type="dxa"/>
          </w:tcPr>
          <w:p w:rsidR="009C5821" w:rsidRDefault="009C5821" w:rsidP="00E964F6">
            <w:pPr>
              <w:pStyle w:val="TableText"/>
            </w:pPr>
            <w:r>
              <w:t>283</w:t>
            </w:r>
          </w:p>
        </w:tc>
        <w:tc>
          <w:tcPr>
            <w:tcW w:w="992" w:type="dxa"/>
          </w:tcPr>
          <w:p w:rsidR="009C5821" w:rsidRDefault="009C5821" w:rsidP="00E964F6">
            <w:pPr>
              <w:pStyle w:val="TableText"/>
            </w:pPr>
            <w:r>
              <w:t>532</w:t>
            </w:r>
          </w:p>
        </w:tc>
        <w:tc>
          <w:tcPr>
            <w:tcW w:w="284" w:type="dxa"/>
          </w:tcPr>
          <w:p w:rsidR="009C5821" w:rsidRDefault="009C5821" w:rsidP="00E964F6">
            <w:pPr>
              <w:pStyle w:val="TableText"/>
            </w:pPr>
          </w:p>
        </w:tc>
        <w:tc>
          <w:tcPr>
            <w:tcW w:w="992" w:type="dxa"/>
          </w:tcPr>
          <w:p w:rsidR="009C5821" w:rsidRDefault="009C5821" w:rsidP="00E964F6">
            <w:pPr>
              <w:pStyle w:val="TableText"/>
            </w:pPr>
            <w:r>
              <w:t>269</w:t>
            </w:r>
          </w:p>
        </w:tc>
        <w:tc>
          <w:tcPr>
            <w:tcW w:w="992" w:type="dxa"/>
          </w:tcPr>
          <w:p w:rsidR="009C5821" w:rsidRDefault="009C5821" w:rsidP="00E964F6">
            <w:pPr>
              <w:pStyle w:val="TableText"/>
            </w:pPr>
            <w:r>
              <w:t>554</w:t>
            </w:r>
          </w:p>
        </w:tc>
        <w:tc>
          <w:tcPr>
            <w:tcW w:w="992" w:type="dxa"/>
          </w:tcPr>
          <w:p w:rsidR="009C5821" w:rsidRDefault="009C5821" w:rsidP="00E964F6">
            <w:pPr>
              <w:pStyle w:val="TableText"/>
            </w:pPr>
            <w:r>
              <w:t>823</w:t>
            </w:r>
          </w:p>
        </w:tc>
      </w:tr>
      <w:tr w:rsidR="009C5821" w:rsidTr="00E964F6">
        <w:tc>
          <w:tcPr>
            <w:tcW w:w="2835" w:type="dxa"/>
          </w:tcPr>
          <w:p w:rsidR="009C5821" w:rsidRDefault="009C5821" w:rsidP="00E964F6">
            <w:pPr>
              <w:pStyle w:val="TableText"/>
            </w:pPr>
            <w:r>
              <w:t>Total (aged 15 years or more)</w:t>
            </w:r>
          </w:p>
        </w:tc>
        <w:tc>
          <w:tcPr>
            <w:tcW w:w="992" w:type="dxa"/>
          </w:tcPr>
          <w:p w:rsidR="009C5821" w:rsidRDefault="009C5821" w:rsidP="00E964F6">
            <w:pPr>
              <w:pStyle w:val="TableText"/>
            </w:pPr>
            <w:r>
              <w:t>1090</w:t>
            </w:r>
          </w:p>
        </w:tc>
        <w:tc>
          <w:tcPr>
            <w:tcW w:w="992" w:type="dxa"/>
          </w:tcPr>
          <w:p w:rsidR="009C5821" w:rsidRDefault="009C5821" w:rsidP="00E964F6">
            <w:pPr>
              <w:pStyle w:val="TableText"/>
            </w:pPr>
            <w:r>
              <w:t>1041</w:t>
            </w:r>
          </w:p>
        </w:tc>
        <w:tc>
          <w:tcPr>
            <w:tcW w:w="992" w:type="dxa"/>
          </w:tcPr>
          <w:p w:rsidR="009C5821" w:rsidRDefault="009C5821" w:rsidP="00E964F6">
            <w:pPr>
              <w:pStyle w:val="TableText"/>
            </w:pPr>
            <w:r>
              <w:t>2132</w:t>
            </w:r>
          </w:p>
        </w:tc>
        <w:tc>
          <w:tcPr>
            <w:tcW w:w="284" w:type="dxa"/>
          </w:tcPr>
          <w:p w:rsidR="009C5821" w:rsidRDefault="009C5821" w:rsidP="00E964F6">
            <w:pPr>
              <w:pStyle w:val="TableText"/>
            </w:pPr>
          </w:p>
        </w:tc>
        <w:tc>
          <w:tcPr>
            <w:tcW w:w="992" w:type="dxa"/>
          </w:tcPr>
          <w:p w:rsidR="009C5821" w:rsidRDefault="009C5821" w:rsidP="00E964F6">
            <w:pPr>
              <w:pStyle w:val="TableText"/>
            </w:pPr>
            <w:r>
              <w:t>1069</w:t>
            </w:r>
          </w:p>
        </w:tc>
        <w:tc>
          <w:tcPr>
            <w:tcW w:w="992" w:type="dxa"/>
          </w:tcPr>
          <w:p w:rsidR="009C5821" w:rsidRDefault="009C5821" w:rsidP="00E964F6">
            <w:pPr>
              <w:pStyle w:val="TableText"/>
            </w:pPr>
            <w:r>
              <w:t>1101</w:t>
            </w:r>
          </w:p>
        </w:tc>
        <w:tc>
          <w:tcPr>
            <w:tcW w:w="992" w:type="dxa"/>
          </w:tcPr>
          <w:p w:rsidR="009C5821" w:rsidRDefault="009C5821" w:rsidP="00E964F6">
            <w:pPr>
              <w:pStyle w:val="TableText"/>
            </w:pPr>
            <w:r>
              <w:t>2170</w:t>
            </w:r>
          </w:p>
        </w:tc>
      </w:tr>
      <w:tr w:rsidR="009C5821" w:rsidTr="00E964F6">
        <w:tc>
          <w:tcPr>
            <w:tcW w:w="2835" w:type="dxa"/>
          </w:tcPr>
          <w:p w:rsidR="009C5821" w:rsidRDefault="009C5821" w:rsidP="00E964F6">
            <w:pPr>
              <w:pStyle w:val="TableText"/>
            </w:pPr>
            <w:r>
              <w:t>As percentage</w:t>
            </w:r>
          </w:p>
        </w:tc>
        <w:tc>
          <w:tcPr>
            <w:tcW w:w="992" w:type="dxa"/>
          </w:tcPr>
          <w:p w:rsidR="009C5821" w:rsidRDefault="009C5821" w:rsidP="00E964F6">
            <w:pPr>
              <w:pStyle w:val="TableText"/>
            </w:pPr>
          </w:p>
        </w:tc>
        <w:tc>
          <w:tcPr>
            <w:tcW w:w="992" w:type="dxa"/>
          </w:tcPr>
          <w:p w:rsidR="009C5821" w:rsidRDefault="009C5821" w:rsidP="00E964F6">
            <w:pPr>
              <w:pStyle w:val="TableText"/>
            </w:pPr>
          </w:p>
        </w:tc>
        <w:tc>
          <w:tcPr>
            <w:tcW w:w="992" w:type="dxa"/>
          </w:tcPr>
          <w:p w:rsidR="009C5821" w:rsidRDefault="009C5821" w:rsidP="00E964F6">
            <w:pPr>
              <w:pStyle w:val="TableText"/>
            </w:pPr>
          </w:p>
        </w:tc>
        <w:tc>
          <w:tcPr>
            <w:tcW w:w="284" w:type="dxa"/>
          </w:tcPr>
          <w:p w:rsidR="009C5821" w:rsidRDefault="009C5821" w:rsidP="00E964F6">
            <w:pPr>
              <w:pStyle w:val="TableText"/>
            </w:pPr>
          </w:p>
        </w:tc>
        <w:tc>
          <w:tcPr>
            <w:tcW w:w="992" w:type="dxa"/>
          </w:tcPr>
          <w:p w:rsidR="009C5821" w:rsidRDefault="009C5821" w:rsidP="00E964F6">
            <w:pPr>
              <w:pStyle w:val="TableText"/>
            </w:pPr>
          </w:p>
        </w:tc>
        <w:tc>
          <w:tcPr>
            <w:tcW w:w="992" w:type="dxa"/>
          </w:tcPr>
          <w:p w:rsidR="009C5821" w:rsidRDefault="009C5821" w:rsidP="00E964F6">
            <w:pPr>
              <w:pStyle w:val="TableText"/>
            </w:pPr>
          </w:p>
        </w:tc>
        <w:tc>
          <w:tcPr>
            <w:tcW w:w="992" w:type="dxa"/>
          </w:tcPr>
          <w:p w:rsidR="009C5821" w:rsidRDefault="009C5821" w:rsidP="00E964F6">
            <w:pPr>
              <w:pStyle w:val="TableText"/>
            </w:pPr>
          </w:p>
        </w:tc>
      </w:tr>
      <w:tr w:rsidR="009C5821" w:rsidTr="00E964F6">
        <w:tc>
          <w:tcPr>
            <w:tcW w:w="2835" w:type="dxa"/>
          </w:tcPr>
          <w:p w:rsidR="009C5821" w:rsidRDefault="009C5821" w:rsidP="00E964F6">
            <w:pPr>
              <w:pStyle w:val="TableText"/>
            </w:pPr>
            <w:r>
              <w:t>Employed</w:t>
            </w:r>
          </w:p>
        </w:tc>
        <w:tc>
          <w:tcPr>
            <w:tcW w:w="992" w:type="dxa"/>
          </w:tcPr>
          <w:p w:rsidR="009C5821" w:rsidRDefault="009C5821" w:rsidP="00E964F6">
            <w:pPr>
              <w:pStyle w:val="TableText"/>
            </w:pPr>
            <w:r>
              <w:t>71.5</w:t>
            </w:r>
          </w:p>
        </w:tc>
        <w:tc>
          <w:tcPr>
            <w:tcW w:w="992" w:type="dxa"/>
          </w:tcPr>
          <w:p w:rsidR="009C5821" w:rsidRDefault="009C5821" w:rsidP="00E964F6">
            <w:pPr>
              <w:pStyle w:val="TableText"/>
            </w:pPr>
            <w:r>
              <w:t>63.8</w:t>
            </w:r>
          </w:p>
        </w:tc>
        <w:tc>
          <w:tcPr>
            <w:tcW w:w="992" w:type="dxa"/>
          </w:tcPr>
          <w:p w:rsidR="009C5821" w:rsidRDefault="009C5821" w:rsidP="00E964F6">
            <w:pPr>
              <w:pStyle w:val="TableText"/>
            </w:pPr>
            <w:r>
              <w:t>67.7</w:t>
            </w:r>
          </w:p>
        </w:tc>
        <w:tc>
          <w:tcPr>
            <w:tcW w:w="284" w:type="dxa"/>
          </w:tcPr>
          <w:p w:rsidR="009C5821" w:rsidRDefault="009C5821" w:rsidP="00E964F6">
            <w:pPr>
              <w:pStyle w:val="TableText"/>
            </w:pPr>
          </w:p>
        </w:tc>
        <w:tc>
          <w:tcPr>
            <w:tcW w:w="992" w:type="dxa"/>
          </w:tcPr>
          <w:p w:rsidR="009C5821" w:rsidRDefault="009C5821" w:rsidP="00E964F6">
            <w:pPr>
              <w:pStyle w:val="TableText"/>
            </w:pPr>
            <w:r>
              <w:t>60.8</w:t>
            </w:r>
          </w:p>
        </w:tc>
        <w:tc>
          <w:tcPr>
            <w:tcW w:w="992" w:type="dxa"/>
          </w:tcPr>
          <w:p w:rsidR="009C5821" w:rsidRDefault="009C5821" w:rsidP="00E964F6">
            <w:pPr>
              <w:pStyle w:val="TableText"/>
            </w:pPr>
            <w:r>
              <w:t>35.6</w:t>
            </w:r>
          </w:p>
        </w:tc>
        <w:tc>
          <w:tcPr>
            <w:tcW w:w="992" w:type="dxa"/>
          </w:tcPr>
          <w:p w:rsidR="009C5821" w:rsidRDefault="009C5821" w:rsidP="00E964F6">
            <w:pPr>
              <w:pStyle w:val="TableText"/>
            </w:pPr>
            <w:r>
              <w:t>48.0</w:t>
            </w:r>
          </w:p>
        </w:tc>
      </w:tr>
      <w:tr w:rsidR="009C5821" w:rsidTr="00E964F6">
        <w:tc>
          <w:tcPr>
            <w:tcW w:w="2835" w:type="dxa"/>
          </w:tcPr>
          <w:p w:rsidR="009C5821" w:rsidRDefault="009C5821" w:rsidP="00E964F6">
            <w:pPr>
              <w:pStyle w:val="TableText"/>
            </w:pPr>
            <w:r>
              <w:t>Unemployed</w:t>
            </w:r>
          </w:p>
        </w:tc>
        <w:tc>
          <w:tcPr>
            <w:tcW w:w="992" w:type="dxa"/>
          </w:tcPr>
          <w:p w:rsidR="009C5821" w:rsidRDefault="009C5821" w:rsidP="00E964F6">
            <w:pPr>
              <w:pStyle w:val="TableText"/>
            </w:pPr>
            <w:r>
              <w:t>5.7</w:t>
            </w:r>
          </w:p>
        </w:tc>
        <w:tc>
          <w:tcPr>
            <w:tcW w:w="992" w:type="dxa"/>
          </w:tcPr>
          <w:p w:rsidR="009C5821" w:rsidRDefault="009C5821" w:rsidP="00E964F6">
            <w:pPr>
              <w:pStyle w:val="TableText"/>
            </w:pPr>
            <w:r>
              <w:t>9.0</w:t>
            </w:r>
          </w:p>
        </w:tc>
        <w:tc>
          <w:tcPr>
            <w:tcW w:w="992" w:type="dxa"/>
          </w:tcPr>
          <w:p w:rsidR="009C5821" w:rsidRDefault="009C5821" w:rsidP="00E964F6">
            <w:pPr>
              <w:pStyle w:val="TableText"/>
            </w:pPr>
            <w:r>
              <w:t>7.3</w:t>
            </w:r>
          </w:p>
        </w:tc>
        <w:tc>
          <w:tcPr>
            <w:tcW w:w="284" w:type="dxa"/>
          </w:tcPr>
          <w:p w:rsidR="009C5821" w:rsidRDefault="009C5821" w:rsidP="00E964F6">
            <w:pPr>
              <w:pStyle w:val="TableText"/>
            </w:pPr>
          </w:p>
        </w:tc>
        <w:tc>
          <w:tcPr>
            <w:tcW w:w="992" w:type="dxa"/>
          </w:tcPr>
          <w:p w:rsidR="009C5821" w:rsidRDefault="009C5821" w:rsidP="00E964F6">
            <w:pPr>
              <w:pStyle w:val="TableText"/>
            </w:pPr>
            <w:r>
              <w:t>14.0</w:t>
            </w:r>
          </w:p>
        </w:tc>
        <w:tc>
          <w:tcPr>
            <w:tcW w:w="992" w:type="dxa"/>
          </w:tcPr>
          <w:p w:rsidR="009C5821" w:rsidRDefault="009C5821" w:rsidP="00E964F6">
            <w:pPr>
              <w:pStyle w:val="TableText"/>
            </w:pPr>
            <w:r>
              <w:t>14.1</w:t>
            </w:r>
          </w:p>
        </w:tc>
        <w:tc>
          <w:tcPr>
            <w:tcW w:w="992" w:type="dxa"/>
          </w:tcPr>
          <w:p w:rsidR="009C5821" w:rsidRDefault="009C5821" w:rsidP="00E964F6">
            <w:pPr>
              <w:pStyle w:val="TableText"/>
            </w:pPr>
            <w:r>
              <w:t>14.1</w:t>
            </w:r>
          </w:p>
        </w:tc>
      </w:tr>
      <w:tr w:rsidR="009C5821" w:rsidTr="00E964F6">
        <w:tc>
          <w:tcPr>
            <w:tcW w:w="2835" w:type="dxa"/>
          </w:tcPr>
          <w:p w:rsidR="009C5821" w:rsidRDefault="009C5821" w:rsidP="00E964F6">
            <w:pPr>
              <w:pStyle w:val="TableText"/>
            </w:pPr>
            <w:r>
              <w:t>Total active</w:t>
            </w:r>
          </w:p>
        </w:tc>
        <w:tc>
          <w:tcPr>
            <w:tcW w:w="992" w:type="dxa"/>
          </w:tcPr>
          <w:p w:rsidR="009C5821" w:rsidRDefault="009C5821" w:rsidP="00E964F6">
            <w:pPr>
              <w:pStyle w:val="TableText"/>
            </w:pPr>
            <w:r>
              <w:t>77.2</w:t>
            </w:r>
          </w:p>
        </w:tc>
        <w:tc>
          <w:tcPr>
            <w:tcW w:w="992" w:type="dxa"/>
          </w:tcPr>
          <w:p w:rsidR="009C5821" w:rsidRDefault="009C5821" w:rsidP="00E964F6">
            <w:pPr>
              <w:pStyle w:val="TableText"/>
            </w:pPr>
            <w:r>
              <w:t>72.8</w:t>
            </w:r>
          </w:p>
        </w:tc>
        <w:tc>
          <w:tcPr>
            <w:tcW w:w="992" w:type="dxa"/>
          </w:tcPr>
          <w:p w:rsidR="009C5821" w:rsidRDefault="009C5821" w:rsidP="00E964F6">
            <w:pPr>
              <w:pStyle w:val="TableText"/>
            </w:pPr>
            <w:r>
              <w:t>75.0</w:t>
            </w:r>
          </w:p>
        </w:tc>
        <w:tc>
          <w:tcPr>
            <w:tcW w:w="284" w:type="dxa"/>
          </w:tcPr>
          <w:p w:rsidR="009C5821" w:rsidRDefault="009C5821" w:rsidP="00E964F6">
            <w:pPr>
              <w:pStyle w:val="TableText"/>
            </w:pPr>
          </w:p>
        </w:tc>
        <w:tc>
          <w:tcPr>
            <w:tcW w:w="992" w:type="dxa"/>
          </w:tcPr>
          <w:p w:rsidR="009C5821" w:rsidRDefault="009C5821" w:rsidP="00E964F6">
            <w:pPr>
              <w:pStyle w:val="TableText"/>
            </w:pPr>
            <w:r>
              <w:t>74.8</w:t>
            </w:r>
          </w:p>
        </w:tc>
        <w:tc>
          <w:tcPr>
            <w:tcW w:w="992" w:type="dxa"/>
          </w:tcPr>
          <w:p w:rsidR="009C5821" w:rsidRDefault="009C5821" w:rsidP="00E964F6">
            <w:pPr>
              <w:pStyle w:val="TableText"/>
            </w:pPr>
            <w:r>
              <w:t>49.7</w:t>
            </w:r>
          </w:p>
        </w:tc>
        <w:tc>
          <w:tcPr>
            <w:tcW w:w="992" w:type="dxa"/>
          </w:tcPr>
          <w:p w:rsidR="009C5821" w:rsidRDefault="009C5821" w:rsidP="00E964F6">
            <w:pPr>
              <w:pStyle w:val="TableText"/>
            </w:pPr>
            <w:r>
              <w:t>62.1</w:t>
            </w:r>
          </w:p>
        </w:tc>
      </w:tr>
      <w:tr w:rsidR="009C5821" w:rsidTr="00E964F6">
        <w:tc>
          <w:tcPr>
            <w:tcW w:w="2835" w:type="dxa"/>
          </w:tcPr>
          <w:p w:rsidR="009C5821" w:rsidRDefault="009C5821" w:rsidP="00E964F6">
            <w:pPr>
              <w:pStyle w:val="TableText"/>
            </w:pPr>
            <w:r>
              <w:t>Inactive</w:t>
            </w:r>
          </w:p>
        </w:tc>
        <w:tc>
          <w:tcPr>
            <w:tcW w:w="992" w:type="dxa"/>
          </w:tcPr>
          <w:p w:rsidR="009C5821" w:rsidRDefault="009C5821" w:rsidP="00E964F6">
            <w:pPr>
              <w:pStyle w:val="TableText"/>
            </w:pPr>
            <w:r>
              <w:t>22.8</w:t>
            </w:r>
          </w:p>
        </w:tc>
        <w:tc>
          <w:tcPr>
            <w:tcW w:w="992" w:type="dxa"/>
          </w:tcPr>
          <w:p w:rsidR="009C5821" w:rsidRDefault="009C5821" w:rsidP="00E964F6">
            <w:pPr>
              <w:pStyle w:val="TableText"/>
            </w:pPr>
            <w:r>
              <w:t>27.2</w:t>
            </w:r>
          </w:p>
        </w:tc>
        <w:tc>
          <w:tcPr>
            <w:tcW w:w="992" w:type="dxa"/>
          </w:tcPr>
          <w:p w:rsidR="009C5821" w:rsidRDefault="009C5821" w:rsidP="00E964F6">
            <w:pPr>
              <w:pStyle w:val="TableText"/>
            </w:pPr>
            <w:r>
              <w:t>25.0</w:t>
            </w:r>
          </w:p>
        </w:tc>
        <w:tc>
          <w:tcPr>
            <w:tcW w:w="284" w:type="dxa"/>
          </w:tcPr>
          <w:p w:rsidR="009C5821" w:rsidRDefault="009C5821" w:rsidP="00E964F6">
            <w:pPr>
              <w:pStyle w:val="TableText"/>
            </w:pPr>
          </w:p>
        </w:tc>
        <w:tc>
          <w:tcPr>
            <w:tcW w:w="992" w:type="dxa"/>
          </w:tcPr>
          <w:p w:rsidR="009C5821" w:rsidRDefault="009C5821" w:rsidP="00E964F6">
            <w:pPr>
              <w:pStyle w:val="TableText"/>
            </w:pPr>
            <w:r>
              <w:t>25.2</w:t>
            </w:r>
          </w:p>
        </w:tc>
        <w:tc>
          <w:tcPr>
            <w:tcW w:w="992" w:type="dxa"/>
          </w:tcPr>
          <w:p w:rsidR="009C5821" w:rsidRDefault="009C5821" w:rsidP="00E964F6">
            <w:pPr>
              <w:pStyle w:val="TableText"/>
            </w:pPr>
            <w:r>
              <w:t>50.3</w:t>
            </w:r>
          </w:p>
        </w:tc>
        <w:tc>
          <w:tcPr>
            <w:tcW w:w="992" w:type="dxa"/>
          </w:tcPr>
          <w:p w:rsidR="009C5821" w:rsidRDefault="009C5821" w:rsidP="00E964F6">
            <w:pPr>
              <w:pStyle w:val="TableText"/>
            </w:pPr>
            <w:r>
              <w:t>37.9</w:t>
            </w:r>
          </w:p>
        </w:tc>
      </w:tr>
      <w:tr w:rsidR="009C5821" w:rsidTr="00E964F6">
        <w:tc>
          <w:tcPr>
            <w:tcW w:w="2835" w:type="dxa"/>
            <w:tcBorders>
              <w:bottom w:val="single" w:sz="4" w:space="0" w:color="auto"/>
            </w:tcBorders>
          </w:tcPr>
          <w:p w:rsidR="009C5821" w:rsidRDefault="009C5821" w:rsidP="00E964F6">
            <w:pPr>
              <w:pStyle w:val="TableText"/>
            </w:pPr>
            <w:r>
              <w:t>Total (aged 15 years or more)</w:t>
            </w:r>
          </w:p>
        </w:tc>
        <w:tc>
          <w:tcPr>
            <w:tcW w:w="992" w:type="dxa"/>
            <w:tcBorders>
              <w:bottom w:val="single" w:sz="4" w:space="0" w:color="auto"/>
            </w:tcBorders>
          </w:tcPr>
          <w:p w:rsidR="009C5821" w:rsidRDefault="009C5821" w:rsidP="00E964F6">
            <w:pPr>
              <w:pStyle w:val="TableText"/>
            </w:pPr>
            <w:r>
              <w:t>100</w:t>
            </w:r>
          </w:p>
        </w:tc>
        <w:tc>
          <w:tcPr>
            <w:tcW w:w="992" w:type="dxa"/>
            <w:tcBorders>
              <w:bottom w:val="single" w:sz="4" w:space="0" w:color="auto"/>
            </w:tcBorders>
          </w:tcPr>
          <w:p w:rsidR="009C5821" w:rsidRDefault="009C5821" w:rsidP="00E964F6">
            <w:pPr>
              <w:pStyle w:val="TableText"/>
            </w:pPr>
            <w:r>
              <w:t>100</w:t>
            </w:r>
          </w:p>
        </w:tc>
        <w:tc>
          <w:tcPr>
            <w:tcW w:w="992" w:type="dxa"/>
            <w:tcBorders>
              <w:bottom w:val="single" w:sz="4" w:space="0" w:color="auto"/>
            </w:tcBorders>
          </w:tcPr>
          <w:p w:rsidR="009C5821" w:rsidRDefault="009C5821" w:rsidP="00E964F6">
            <w:pPr>
              <w:pStyle w:val="TableText"/>
            </w:pPr>
            <w:r>
              <w:t>100</w:t>
            </w:r>
          </w:p>
        </w:tc>
        <w:tc>
          <w:tcPr>
            <w:tcW w:w="284" w:type="dxa"/>
            <w:tcBorders>
              <w:bottom w:val="single" w:sz="4" w:space="0" w:color="auto"/>
            </w:tcBorders>
          </w:tcPr>
          <w:p w:rsidR="009C5821" w:rsidRDefault="009C5821" w:rsidP="00E964F6">
            <w:pPr>
              <w:pStyle w:val="TableText"/>
            </w:pPr>
          </w:p>
        </w:tc>
        <w:tc>
          <w:tcPr>
            <w:tcW w:w="992" w:type="dxa"/>
            <w:tcBorders>
              <w:bottom w:val="single" w:sz="4" w:space="0" w:color="auto"/>
            </w:tcBorders>
          </w:tcPr>
          <w:p w:rsidR="009C5821" w:rsidRDefault="009C5821" w:rsidP="00E964F6">
            <w:pPr>
              <w:pStyle w:val="TableText"/>
            </w:pPr>
            <w:r>
              <w:t>100</w:t>
            </w:r>
          </w:p>
        </w:tc>
        <w:tc>
          <w:tcPr>
            <w:tcW w:w="992" w:type="dxa"/>
            <w:tcBorders>
              <w:bottom w:val="single" w:sz="4" w:space="0" w:color="auto"/>
            </w:tcBorders>
          </w:tcPr>
          <w:p w:rsidR="009C5821" w:rsidRDefault="009C5821" w:rsidP="00E964F6">
            <w:pPr>
              <w:pStyle w:val="TableText"/>
            </w:pPr>
            <w:r>
              <w:t>100</w:t>
            </w:r>
          </w:p>
        </w:tc>
        <w:tc>
          <w:tcPr>
            <w:tcW w:w="992" w:type="dxa"/>
            <w:tcBorders>
              <w:bottom w:val="single" w:sz="4" w:space="0" w:color="auto"/>
            </w:tcBorders>
          </w:tcPr>
          <w:p w:rsidR="009C5821" w:rsidRDefault="009C5821" w:rsidP="00E964F6">
            <w:pPr>
              <w:pStyle w:val="TableText"/>
            </w:pPr>
            <w:r>
              <w:t>100</w:t>
            </w:r>
          </w:p>
        </w:tc>
      </w:tr>
    </w:tbl>
    <w:p w:rsidR="009C5821" w:rsidRDefault="009C5821" w:rsidP="009C5821">
      <w:pPr>
        <w:pStyle w:val="TableFootnote"/>
        <w:jc w:val="both"/>
      </w:pPr>
      <w:r>
        <w:t>Source: People and work in Albania, Population and Housing Census Research Publication, INSTAT, 2004</w:t>
      </w:r>
    </w:p>
    <w:p w:rsidR="009C5821" w:rsidRDefault="009C5821" w:rsidP="009C5821">
      <w:pPr>
        <w:pStyle w:val="BodyText"/>
      </w:pPr>
      <w:r>
        <w:t>It is important to keep in mind that the notions of employment and unemployment have changed since 1989 and are not easily comparable. However, some changes are unambiguous, such as the drop in the female participation rate. Despite the high emigration rate of men, it appears that women have not substituted them in the domestic economy, not even in rural areas or agricultural activities. Female employment decreased mostly in urban areas for several reasons: the closure of factories, the increasing significance of male-oriented activities, such as trade and construction, and internal migration to urban areas, as women face more problems entering the urban labour market in the current economic environment.</w:t>
      </w:r>
    </w:p>
    <w:p w:rsidR="009C5821" w:rsidRDefault="009C5821" w:rsidP="009C5821">
      <w:pPr>
        <w:pStyle w:val="Heading3"/>
        <w:jc w:val="both"/>
      </w:pPr>
      <w:r>
        <w:t>Employment</w:t>
      </w:r>
    </w:p>
    <w:p w:rsidR="009C5821" w:rsidRDefault="009C5821" w:rsidP="009C5821">
      <w:pPr>
        <w:pStyle w:val="BodyText"/>
      </w:pPr>
      <w:r>
        <w:lastRenderedPageBreak/>
        <w:t xml:space="preserve">Measuring employment is fraught with difficulties in the context of a Census. Many people do not consider activity in the informal sector as equivalent to being employed. Respondents have sometimes an incentive not to report their real employment status. For example, according to the Census, the employment rate of 46-year-old women jumps by 20 percentage points relative to the rate of 45-year-old women. One of the likely explanations relates to social insurance rules for former employees of agricultural enterprises and members of their families. To enjoy a pension starting at age 55, women must have been employed for at least 10 years. Many women believed that claiming to be employed would be useful to earn a pension. </w:t>
      </w:r>
    </w:p>
    <w:p w:rsidR="009C5821" w:rsidRDefault="009C5821" w:rsidP="009C5821">
      <w:pPr>
        <w:pStyle w:val="BodyText"/>
      </w:pPr>
      <w:r>
        <w:t xml:space="preserve">The direct and probing interviews used in the LSMS were designed to capture the employment status of the population better than the Census. </w:t>
      </w:r>
      <w:fldSimple w:instr=" REF _Ref104047272 \r  \* MERGEFORMAT ">
        <w:r>
          <w:t>Table 3.7</w:t>
        </w:r>
      </w:fldSimple>
      <w:r>
        <w:t xml:space="preserve"> shows that men are more likely than women to be in employment (55% of the employed were men). At the same time, women are more likely than men to be inactive (69%) or unemployed (53%). Of those aged 15–34 years, 54% were in employment, while of those aged 35–54 years 52% were in employment. The unemployed were most likely to be aged 15–34 years (36.6%) and those who were inactive were more likely to be in the younger age group of 15–34 year olds. </w:t>
      </w:r>
    </w:p>
    <w:p w:rsidR="009C5821" w:rsidRDefault="009C5821" w:rsidP="009C5821">
      <w:pPr>
        <w:pStyle w:val="Table"/>
        <w:numPr>
          <w:ilvl w:val="4"/>
          <w:numId w:val="0"/>
        </w:numPr>
        <w:tabs>
          <w:tab w:val="num" w:pos="1008"/>
        </w:tabs>
        <w:ind w:left="1008" w:hanging="1008"/>
        <w:jc w:val="both"/>
      </w:pPr>
      <w:bookmarkStart w:id="4" w:name="_Ref104047272"/>
      <w:bookmarkStart w:id="5" w:name="_Toc109495237"/>
      <w:r>
        <w:t>Employment status of working age individuals, 2002</w:t>
      </w:r>
      <w:bookmarkEnd w:id="4"/>
      <w:bookmarkEnd w:id="5"/>
    </w:p>
    <w:tbl>
      <w:tblPr>
        <w:tblW w:w="9639" w:type="dxa"/>
        <w:jc w:val="center"/>
        <w:tblLook w:val="01E0"/>
      </w:tblPr>
      <w:tblGrid>
        <w:gridCol w:w="2835"/>
        <w:gridCol w:w="1701"/>
        <w:gridCol w:w="1701"/>
        <w:gridCol w:w="1701"/>
        <w:gridCol w:w="1701"/>
      </w:tblGrid>
      <w:tr w:rsidR="009C5821" w:rsidTr="00E964F6">
        <w:trPr>
          <w:jc w:val="center"/>
        </w:trPr>
        <w:tc>
          <w:tcPr>
            <w:tcW w:w="2835" w:type="dxa"/>
            <w:tcBorders>
              <w:top w:val="single" w:sz="4" w:space="0" w:color="auto"/>
              <w:bottom w:val="single" w:sz="4" w:space="0" w:color="auto"/>
            </w:tcBorders>
          </w:tcPr>
          <w:p w:rsidR="009C5821" w:rsidRDefault="009C5821" w:rsidP="00E964F6">
            <w:pPr>
              <w:pStyle w:val="TableText"/>
            </w:pPr>
          </w:p>
        </w:tc>
        <w:tc>
          <w:tcPr>
            <w:tcW w:w="1701" w:type="dxa"/>
            <w:tcBorders>
              <w:top w:val="single" w:sz="4" w:space="0" w:color="auto"/>
              <w:bottom w:val="single" w:sz="4" w:space="0" w:color="auto"/>
            </w:tcBorders>
          </w:tcPr>
          <w:p w:rsidR="009C5821" w:rsidRDefault="009C5821" w:rsidP="00E964F6">
            <w:pPr>
              <w:pStyle w:val="TableText"/>
            </w:pPr>
            <w:r>
              <w:t>Employed</w:t>
            </w:r>
          </w:p>
        </w:tc>
        <w:tc>
          <w:tcPr>
            <w:tcW w:w="1701" w:type="dxa"/>
            <w:tcBorders>
              <w:top w:val="single" w:sz="4" w:space="0" w:color="auto"/>
              <w:bottom w:val="single" w:sz="4" w:space="0" w:color="auto"/>
            </w:tcBorders>
          </w:tcPr>
          <w:p w:rsidR="009C5821" w:rsidRDefault="009C5821" w:rsidP="00E964F6">
            <w:pPr>
              <w:pStyle w:val="TableText"/>
            </w:pPr>
            <w:r>
              <w:t>Unemployed</w:t>
            </w:r>
          </w:p>
        </w:tc>
        <w:tc>
          <w:tcPr>
            <w:tcW w:w="1701" w:type="dxa"/>
            <w:tcBorders>
              <w:top w:val="single" w:sz="4" w:space="0" w:color="auto"/>
              <w:bottom w:val="single" w:sz="4" w:space="0" w:color="auto"/>
            </w:tcBorders>
          </w:tcPr>
          <w:p w:rsidR="009C5821" w:rsidRDefault="009C5821" w:rsidP="00E964F6">
            <w:pPr>
              <w:pStyle w:val="TableText"/>
            </w:pPr>
            <w:r>
              <w:t>Inactive</w:t>
            </w:r>
          </w:p>
        </w:tc>
        <w:tc>
          <w:tcPr>
            <w:tcW w:w="1701" w:type="dxa"/>
            <w:tcBorders>
              <w:top w:val="single" w:sz="4" w:space="0" w:color="auto"/>
              <w:bottom w:val="single" w:sz="4" w:space="0" w:color="auto"/>
            </w:tcBorders>
          </w:tcPr>
          <w:p w:rsidR="009C5821" w:rsidRDefault="009C5821" w:rsidP="00E964F6">
            <w:pPr>
              <w:pStyle w:val="TableText"/>
            </w:pPr>
            <w:r>
              <w:t xml:space="preserve">Total number </w:t>
            </w:r>
            <w:r>
              <w:br/>
              <w:t>of observations</w:t>
            </w:r>
          </w:p>
        </w:tc>
      </w:tr>
      <w:tr w:rsidR="009C5821" w:rsidTr="00E964F6">
        <w:trPr>
          <w:jc w:val="center"/>
        </w:trPr>
        <w:tc>
          <w:tcPr>
            <w:tcW w:w="2835" w:type="dxa"/>
            <w:tcBorders>
              <w:top w:val="single" w:sz="4" w:space="0" w:color="auto"/>
            </w:tcBorders>
          </w:tcPr>
          <w:p w:rsidR="009C5821" w:rsidRDefault="009C5821" w:rsidP="00E964F6">
            <w:pPr>
              <w:pStyle w:val="TableText"/>
            </w:pPr>
            <w:r>
              <w:t>Gender</w:t>
            </w:r>
          </w:p>
        </w:tc>
        <w:tc>
          <w:tcPr>
            <w:tcW w:w="1701" w:type="dxa"/>
            <w:tcBorders>
              <w:top w:val="single" w:sz="4" w:space="0" w:color="auto"/>
            </w:tcBorders>
          </w:tcPr>
          <w:p w:rsidR="009C5821" w:rsidRDefault="009C5821" w:rsidP="00E964F6">
            <w:pPr>
              <w:pStyle w:val="TableText"/>
            </w:pPr>
          </w:p>
        </w:tc>
        <w:tc>
          <w:tcPr>
            <w:tcW w:w="1701" w:type="dxa"/>
            <w:tcBorders>
              <w:top w:val="single" w:sz="4" w:space="0" w:color="auto"/>
            </w:tcBorders>
          </w:tcPr>
          <w:p w:rsidR="009C5821" w:rsidRDefault="009C5821" w:rsidP="00E964F6">
            <w:pPr>
              <w:pStyle w:val="TableText"/>
            </w:pPr>
          </w:p>
        </w:tc>
        <w:tc>
          <w:tcPr>
            <w:tcW w:w="1701" w:type="dxa"/>
            <w:tcBorders>
              <w:top w:val="single" w:sz="4" w:space="0" w:color="auto"/>
            </w:tcBorders>
          </w:tcPr>
          <w:p w:rsidR="009C5821" w:rsidRDefault="009C5821" w:rsidP="00E964F6">
            <w:pPr>
              <w:pStyle w:val="TableText"/>
            </w:pPr>
          </w:p>
        </w:tc>
        <w:tc>
          <w:tcPr>
            <w:tcW w:w="1701" w:type="dxa"/>
            <w:tcBorders>
              <w:top w:val="single" w:sz="4" w:space="0" w:color="auto"/>
            </w:tcBorders>
          </w:tcPr>
          <w:p w:rsidR="009C5821" w:rsidRDefault="009C5821" w:rsidP="00E964F6">
            <w:pPr>
              <w:pStyle w:val="TableText"/>
            </w:pPr>
          </w:p>
        </w:tc>
      </w:tr>
      <w:tr w:rsidR="009C5821" w:rsidTr="00E964F6">
        <w:trPr>
          <w:jc w:val="center"/>
        </w:trPr>
        <w:tc>
          <w:tcPr>
            <w:tcW w:w="2835" w:type="dxa"/>
          </w:tcPr>
          <w:p w:rsidR="009C5821" w:rsidRDefault="009C5821" w:rsidP="00E964F6">
            <w:pPr>
              <w:pStyle w:val="TableText"/>
            </w:pPr>
            <w:r>
              <w:t>Male</w:t>
            </w:r>
          </w:p>
        </w:tc>
        <w:tc>
          <w:tcPr>
            <w:tcW w:w="1701" w:type="dxa"/>
          </w:tcPr>
          <w:p w:rsidR="009C5821" w:rsidRDefault="009C5821" w:rsidP="00E964F6">
            <w:pPr>
              <w:pStyle w:val="TableText"/>
            </w:pPr>
            <w:r>
              <w:t>54.9</w:t>
            </w:r>
          </w:p>
        </w:tc>
        <w:tc>
          <w:tcPr>
            <w:tcW w:w="1701" w:type="dxa"/>
          </w:tcPr>
          <w:p w:rsidR="009C5821" w:rsidRDefault="009C5821" w:rsidP="00E964F6">
            <w:pPr>
              <w:pStyle w:val="TableText"/>
            </w:pPr>
            <w:r>
              <w:t>46.8</w:t>
            </w:r>
          </w:p>
        </w:tc>
        <w:tc>
          <w:tcPr>
            <w:tcW w:w="1701" w:type="dxa"/>
          </w:tcPr>
          <w:p w:rsidR="009C5821" w:rsidRDefault="009C5821" w:rsidP="00E964F6">
            <w:pPr>
              <w:pStyle w:val="TableText"/>
            </w:pPr>
            <w:r>
              <w:t>30.9</w:t>
            </w:r>
          </w:p>
        </w:tc>
        <w:tc>
          <w:tcPr>
            <w:tcW w:w="1701" w:type="dxa"/>
          </w:tcPr>
          <w:p w:rsidR="009C5821" w:rsidRDefault="009C5821" w:rsidP="00E964F6">
            <w:pPr>
              <w:pStyle w:val="TableText"/>
            </w:pPr>
            <w:r>
              <w:t>1997</w:t>
            </w:r>
          </w:p>
        </w:tc>
      </w:tr>
      <w:tr w:rsidR="009C5821" w:rsidTr="00E964F6">
        <w:trPr>
          <w:jc w:val="center"/>
        </w:trPr>
        <w:tc>
          <w:tcPr>
            <w:tcW w:w="2835" w:type="dxa"/>
            <w:tcBorders>
              <w:bottom w:val="single" w:sz="4" w:space="0" w:color="auto"/>
            </w:tcBorders>
          </w:tcPr>
          <w:p w:rsidR="009C5821" w:rsidRDefault="009C5821" w:rsidP="00E964F6">
            <w:pPr>
              <w:pStyle w:val="TableText"/>
            </w:pPr>
            <w:r>
              <w:t>Female</w:t>
            </w:r>
          </w:p>
        </w:tc>
        <w:tc>
          <w:tcPr>
            <w:tcW w:w="1701" w:type="dxa"/>
            <w:tcBorders>
              <w:bottom w:val="single" w:sz="4" w:space="0" w:color="auto"/>
            </w:tcBorders>
          </w:tcPr>
          <w:p w:rsidR="009C5821" w:rsidRDefault="009C5821" w:rsidP="00E964F6">
            <w:pPr>
              <w:pStyle w:val="TableText"/>
            </w:pPr>
            <w:r>
              <w:t>45.1</w:t>
            </w:r>
          </w:p>
        </w:tc>
        <w:tc>
          <w:tcPr>
            <w:tcW w:w="1701" w:type="dxa"/>
            <w:tcBorders>
              <w:bottom w:val="single" w:sz="4" w:space="0" w:color="auto"/>
            </w:tcBorders>
          </w:tcPr>
          <w:p w:rsidR="009C5821" w:rsidRDefault="009C5821" w:rsidP="00E964F6">
            <w:pPr>
              <w:pStyle w:val="TableText"/>
            </w:pPr>
            <w:r>
              <w:t>53.2</w:t>
            </w:r>
          </w:p>
        </w:tc>
        <w:tc>
          <w:tcPr>
            <w:tcW w:w="1701" w:type="dxa"/>
            <w:tcBorders>
              <w:bottom w:val="single" w:sz="4" w:space="0" w:color="auto"/>
            </w:tcBorders>
          </w:tcPr>
          <w:p w:rsidR="009C5821" w:rsidRDefault="009C5821" w:rsidP="00E964F6">
            <w:pPr>
              <w:pStyle w:val="TableText"/>
            </w:pPr>
            <w:r>
              <w:t>69.1</w:t>
            </w:r>
          </w:p>
        </w:tc>
        <w:tc>
          <w:tcPr>
            <w:tcW w:w="1701" w:type="dxa"/>
            <w:tcBorders>
              <w:bottom w:val="single" w:sz="4" w:space="0" w:color="auto"/>
            </w:tcBorders>
          </w:tcPr>
          <w:p w:rsidR="009C5821" w:rsidRDefault="009C5821" w:rsidP="00E964F6">
            <w:pPr>
              <w:pStyle w:val="TableText"/>
            </w:pPr>
            <w:r>
              <w:t>2176</w:t>
            </w:r>
          </w:p>
        </w:tc>
      </w:tr>
      <w:tr w:rsidR="009C5821" w:rsidTr="00E964F6">
        <w:trPr>
          <w:jc w:val="center"/>
        </w:trPr>
        <w:tc>
          <w:tcPr>
            <w:tcW w:w="2835" w:type="dxa"/>
            <w:tcBorders>
              <w:top w:val="single" w:sz="4" w:space="0" w:color="auto"/>
            </w:tcBorders>
          </w:tcPr>
          <w:p w:rsidR="009C5821" w:rsidRDefault="009C5821" w:rsidP="00E964F6">
            <w:pPr>
              <w:pStyle w:val="TableText"/>
            </w:pPr>
            <w:r>
              <w:t>Age</w:t>
            </w:r>
          </w:p>
        </w:tc>
        <w:tc>
          <w:tcPr>
            <w:tcW w:w="1701" w:type="dxa"/>
            <w:tcBorders>
              <w:top w:val="single" w:sz="4" w:space="0" w:color="auto"/>
            </w:tcBorders>
          </w:tcPr>
          <w:p w:rsidR="009C5821" w:rsidRDefault="009C5821" w:rsidP="00E964F6">
            <w:pPr>
              <w:pStyle w:val="TableText"/>
            </w:pPr>
          </w:p>
        </w:tc>
        <w:tc>
          <w:tcPr>
            <w:tcW w:w="1701" w:type="dxa"/>
            <w:tcBorders>
              <w:top w:val="single" w:sz="4" w:space="0" w:color="auto"/>
            </w:tcBorders>
          </w:tcPr>
          <w:p w:rsidR="009C5821" w:rsidRDefault="009C5821" w:rsidP="00E964F6">
            <w:pPr>
              <w:pStyle w:val="TableText"/>
            </w:pPr>
          </w:p>
        </w:tc>
        <w:tc>
          <w:tcPr>
            <w:tcW w:w="1701" w:type="dxa"/>
            <w:tcBorders>
              <w:top w:val="single" w:sz="4" w:space="0" w:color="auto"/>
            </w:tcBorders>
          </w:tcPr>
          <w:p w:rsidR="009C5821" w:rsidRDefault="009C5821" w:rsidP="00E964F6">
            <w:pPr>
              <w:pStyle w:val="TableText"/>
            </w:pPr>
          </w:p>
        </w:tc>
        <w:tc>
          <w:tcPr>
            <w:tcW w:w="1701" w:type="dxa"/>
            <w:tcBorders>
              <w:top w:val="single" w:sz="4" w:space="0" w:color="auto"/>
            </w:tcBorders>
          </w:tcPr>
          <w:p w:rsidR="009C5821" w:rsidRDefault="009C5821" w:rsidP="00E964F6">
            <w:pPr>
              <w:pStyle w:val="TableText"/>
            </w:pPr>
          </w:p>
        </w:tc>
      </w:tr>
      <w:tr w:rsidR="009C5821" w:rsidTr="00E964F6">
        <w:trPr>
          <w:jc w:val="center"/>
        </w:trPr>
        <w:tc>
          <w:tcPr>
            <w:tcW w:w="2835" w:type="dxa"/>
          </w:tcPr>
          <w:p w:rsidR="009C5821" w:rsidRDefault="009C5821" w:rsidP="00E964F6">
            <w:pPr>
              <w:pStyle w:val="TableText"/>
            </w:pPr>
            <w:r>
              <w:t>15-34</w:t>
            </w:r>
          </w:p>
        </w:tc>
        <w:tc>
          <w:tcPr>
            <w:tcW w:w="1701" w:type="dxa"/>
          </w:tcPr>
          <w:p w:rsidR="009C5821" w:rsidRDefault="009C5821" w:rsidP="00E964F6">
            <w:pPr>
              <w:pStyle w:val="TableText"/>
            </w:pPr>
            <w:r>
              <w:t>54.0</w:t>
            </w:r>
          </w:p>
        </w:tc>
        <w:tc>
          <w:tcPr>
            <w:tcW w:w="1701" w:type="dxa"/>
          </w:tcPr>
          <w:p w:rsidR="009C5821" w:rsidRDefault="009C5821" w:rsidP="00E964F6">
            <w:pPr>
              <w:pStyle w:val="TableText"/>
            </w:pPr>
            <w:r>
              <w:t>13.2</w:t>
            </w:r>
          </w:p>
        </w:tc>
        <w:tc>
          <w:tcPr>
            <w:tcW w:w="1701" w:type="dxa"/>
          </w:tcPr>
          <w:p w:rsidR="009C5821" w:rsidRDefault="009C5821" w:rsidP="00E964F6">
            <w:pPr>
              <w:pStyle w:val="TableText"/>
            </w:pPr>
            <w:r>
              <w:t>32.8</w:t>
            </w:r>
          </w:p>
        </w:tc>
        <w:tc>
          <w:tcPr>
            <w:tcW w:w="1701" w:type="dxa"/>
          </w:tcPr>
          <w:p w:rsidR="009C5821" w:rsidRDefault="009C5821" w:rsidP="00E964F6">
            <w:pPr>
              <w:pStyle w:val="TableText"/>
            </w:pPr>
            <w:r>
              <w:t>1901</w:t>
            </w:r>
          </w:p>
        </w:tc>
      </w:tr>
      <w:tr w:rsidR="009C5821" w:rsidTr="00E964F6">
        <w:trPr>
          <w:jc w:val="center"/>
        </w:trPr>
        <w:tc>
          <w:tcPr>
            <w:tcW w:w="2835" w:type="dxa"/>
          </w:tcPr>
          <w:p w:rsidR="009C5821" w:rsidRDefault="009C5821" w:rsidP="00E964F6">
            <w:pPr>
              <w:pStyle w:val="TableText"/>
            </w:pPr>
            <w:r>
              <w:t>35-54</w:t>
            </w:r>
          </w:p>
        </w:tc>
        <w:tc>
          <w:tcPr>
            <w:tcW w:w="1701" w:type="dxa"/>
          </w:tcPr>
          <w:p w:rsidR="009C5821" w:rsidRDefault="009C5821" w:rsidP="00E964F6">
            <w:pPr>
              <w:pStyle w:val="TableText"/>
            </w:pPr>
            <w:r>
              <w:t>52.4</w:t>
            </w:r>
          </w:p>
        </w:tc>
        <w:tc>
          <w:tcPr>
            <w:tcW w:w="1701" w:type="dxa"/>
          </w:tcPr>
          <w:p w:rsidR="009C5821" w:rsidRDefault="009C5821" w:rsidP="00E964F6">
            <w:pPr>
              <w:pStyle w:val="TableText"/>
            </w:pPr>
            <w:r>
              <w:t>36.6</w:t>
            </w:r>
          </w:p>
        </w:tc>
        <w:tc>
          <w:tcPr>
            <w:tcW w:w="1701" w:type="dxa"/>
          </w:tcPr>
          <w:p w:rsidR="009C5821" w:rsidRDefault="009C5821" w:rsidP="00E964F6">
            <w:pPr>
              <w:pStyle w:val="TableText"/>
            </w:pPr>
            <w:r>
              <w:t>27.3</w:t>
            </w:r>
          </w:p>
        </w:tc>
        <w:tc>
          <w:tcPr>
            <w:tcW w:w="1701" w:type="dxa"/>
          </w:tcPr>
          <w:p w:rsidR="009C5821" w:rsidRDefault="009C5821" w:rsidP="00E964F6">
            <w:pPr>
              <w:pStyle w:val="TableText"/>
            </w:pPr>
            <w:r>
              <w:t>1874</w:t>
            </w:r>
          </w:p>
        </w:tc>
      </w:tr>
      <w:tr w:rsidR="009C5821" w:rsidTr="00E964F6">
        <w:trPr>
          <w:jc w:val="center"/>
        </w:trPr>
        <w:tc>
          <w:tcPr>
            <w:tcW w:w="2835" w:type="dxa"/>
            <w:tcBorders>
              <w:bottom w:val="single" w:sz="4" w:space="0" w:color="auto"/>
            </w:tcBorders>
          </w:tcPr>
          <w:p w:rsidR="009C5821" w:rsidRDefault="009C5821" w:rsidP="00E964F6">
            <w:pPr>
              <w:pStyle w:val="TableText"/>
            </w:pPr>
            <w:r>
              <w:t>55-over</w:t>
            </w:r>
          </w:p>
        </w:tc>
        <w:tc>
          <w:tcPr>
            <w:tcW w:w="1701" w:type="dxa"/>
            <w:tcBorders>
              <w:bottom w:val="single" w:sz="4" w:space="0" w:color="auto"/>
            </w:tcBorders>
          </w:tcPr>
          <w:p w:rsidR="009C5821" w:rsidRDefault="009C5821" w:rsidP="00E964F6">
            <w:pPr>
              <w:pStyle w:val="TableText"/>
            </w:pPr>
            <w:r>
              <w:t>9.1</w:t>
            </w:r>
          </w:p>
        </w:tc>
        <w:tc>
          <w:tcPr>
            <w:tcW w:w="1701" w:type="dxa"/>
            <w:tcBorders>
              <w:bottom w:val="single" w:sz="4" w:space="0" w:color="auto"/>
            </w:tcBorders>
          </w:tcPr>
          <w:p w:rsidR="009C5821" w:rsidRDefault="009C5821" w:rsidP="00E964F6">
            <w:pPr>
              <w:pStyle w:val="TableText"/>
            </w:pPr>
            <w:r>
              <w:t>2.8</w:t>
            </w:r>
          </w:p>
        </w:tc>
        <w:tc>
          <w:tcPr>
            <w:tcW w:w="1701" w:type="dxa"/>
            <w:tcBorders>
              <w:bottom w:val="single" w:sz="4" w:space="0" w:color="auto"/>
            </w:tcBorders>
          </w:tcPr>
          <w:p w:rsidR="009C5821" w:rsidRDefault="009C5821" w:rsidP="00E964F6">
            <w:pPr>
              <w:pStyle w:val="TableText"/>
            </w:pPr>
            <w:r>
              <w:t>19.6</w:t>
            </w:r>
          </w:p>
        </w:tc>
        <w:tc>
          <w:tcPr>
            <w:tcW w:w="1701" w:type="dxa"/>
            <w:tcBorders>
              <w:bottom w:val="single" w:sz="4" w:space="0" w:color="auto"/>
            </w:tcBorders>
          </w:tcPr>
          <w:p w:rsidR="009C5821" w:rsidRDefault="009C5821" w:rsidP="00E964F6">
            <w:pPr>
              <w:pStyle w:val="TableText"/>
            </w:pPr>
            <w:r>
              <w:t>398</w:t>
            </w:r>
          </w:p>
        </w:tc>
      </w:tr>
      <w:tr w:rsidR="009C5821" w:rsidTr="00E964F6">
        <w:trPr>
          <w:jc w:val="center"/>
        </w:trPr>
        <w:tc>
          <w:tcPr>
            <w:tcW w:w="2835" w:type="dxa"/>
            <w:tcBorders>
              <w:top w:val="single" w:sz="4" w:space="0" w:color="auto"/>
            </w:tcBorders>
          </w:tcPr>
          <w:p w:rsidR="009C5821" w:rsidRDefault="009C5821" w:rsidP="00E964F6">
            <w:pPr>
              <w:pStyle w:val="TableText"/>
            </w:pPr>
            <w:r>
              <w:t>Highest qualification</w:t>
            </w:r>
          </w:p>
        </w:tc>
        <w:tc>
          <w:tcPr>
            <w:tcW w:w="1701" w:type="dxa"/>
            <w:tcBorders>
              <w:top w:val="single" w:sz="4" w:space="0" w:color="auto"/>
            </w:tcBorders>
          </w:tcPr>
          <w:p w:rsidR="009C5821" w:rsidRDefault="009C5821" w:rsidP="00E964F6">
            <w:pPr>
              <w:pStyle w:val="TableText"/>
            </w:pPr>
          </w:p>
        </w:tc>
        <w:tc>
          <w:tcPr>
            <w:tcW w:w="1701" w:type="dxa"/>
            <w:tcBorders>
              <w:top w:val="single" w:sz="4" w:space="0" w:color="auto"/>
            </w:tcBorders>
          </w:tcPr>
          <w:p w:rsidR="009C5821" w:rsidRDefault="009C5821" w:rsidP="00E964F6">
            <w:pPr>
              <w:pStyle w:val="TableText"/>
            </w:pPr>
          </w:p>
        </w:tc>
        <w:tc>
          <w:tcPr>
            <w:tcW w:w="1701" w:type="dxa"/>
            <w:tcBorders>
              <w:top w:val="single" w:sz="4" w:space="0" w:color="auto"/>
            </w:tcBorders>
          </w:tcPr>
          <w:p w:rsidR="009C5821" w:rsidRDefault="009C5821" w:rsidP="00E964F6">
            <w:pPr>
              <w:pStyle w:val="TableText"/>
            </w:pPr>
          </w:p>
        </w:tc>
        <w:tc>
          <w:tcPr>
            <w:tcW w:w="1701" w:type="dxa"/>
            <w:tcBorders>
              <w:top w:val="single" w:sz="4" w:space="0" w:color="auto"/>
            </w:tcBorders>
          </w:tcPr>
          <w:p w:rsidR="009C5821" w:rsidRDefault="009C5821" w:rsidP="00E964F6">
            <w:pPr>
              <w:pStyle w:val="TableText"/>
            </w:pPr>
          </w:p>
        </w:tc>
      </w:tr>
      <w:tr w:rsidR="009C5821" w:rsidTr="00E964F6">
        <w:trPr>
          <w:jc w:val="center"/>
        </w:trPr>
        <w:tc>
          <w:tcPr>
            <w:tcW w:w="2835" w:type="dxa"/>
          </w:tcPr>
          <w:p w:rsidR="009C5821" w:rsidRDefault="009C5821" w:rsidP="00E964F6">
            <w:pPr>
              <w:pStyle w:val="TableText"/>
            </w:pPr>
            <w:r>
              <w:t>Up to 8 years</w:t>
            </w:r>
          </w:p>
        </w:tc>
        <w:tc>
          <w:tcPr>
            <w:tcW w:w="1701" w:type="dxa"/>
          </w:tcPr>
          <w:p w:rsidR="009C5821" w:rsidRDefault="009C5821" w:rsidP="00E964F6">
            <w:pPr>
              <w:pStyle w:val="TableText"/>
            </w:pPr>
            <w:r>
              <w:t>57.6</w:t>
            </w:r>
          </w:p>
        </w:tc>
        <w:tc>
          <w:tcPr>
            <w:tcW w:w="1701" w:type="dxa"/>
          </w:tcPr>
          <w:p w:rsidR="009C5821" w:rsidRDefault="009C5821" w:rsidP="00E964F6">
            <w:pPr>
              <w:pStyle w:val="TableText"/>
            </w:pPr>
            <w:r>
              <w:t>58.6</w:t>
            </w:r>
          </w:p>
        </w:tc>
        <w:tc>
          <w:tcPr>
            <w:tcW w:w="1701" w:type="dxa"/>
          </w:tcPr>
          <w:p w:rsidR="009C5821" w:rsidRDefault="009C5821" w:rsidP="00E964F6">
            <w:pPr>
              <w:pStyle w:val="TableText"/>
            </w:pPr>
            <w:r>
              <w:t>69.5</w:t>
            </w:r>
          </w:p>
        </w:tc>
        <w:tc>
          <w:tcPr>
            <w:tcW w:w="1701" w:type="dxa"/>
          </w:tcPr>
          <w:p w:rsidR="009C5821" w:rsidRDefault="009C5821" w:rsidP="00E964F6">
            <w:pPr>
              <w:pStyle w:val="TableText"/>
            </w:pPr>
            <w:r>
              <w:t>2179</w:t>
            </w:r>
          </w:p>
        </w:tc>
      </w:tr>
      <w:tr w:rsidR="009C5821" w:rsidTr="00E964F6">
        <w:trPr>
          <w:jc w:val="center"/>
        </w:trPr>
        <w:tc>
          <w:tcPr>
            <w:tcW w:w="2835" w:type="dxa"/>
          </w:tcPr>
          <w:p w:rsidR="009C5821" w:rsidRDefault="009C5821" w:rsidP="00E964F6">
            <w:pPr>
              <w:pStyle w:val="TableText"/>
            </w:pPr>
            <w:r>
              <w:t>Secondary / Vocational</w:t>
            </w:r>
          </w:p>
        </w:tc>
        <w:tc>
          <w:tcPr>
            <w:tcW w:w="1701" w:type="dxa"/>
          </w:tcPr>
          <w:p w:rsidR="009C5821" w:rsidRDefault="009C5821" w:rsidP="00E964F6">
            <w:pPr>
              <w:pStyle w:val="TableText"/>
            </w:pPr>
            <w:r>
              <w:t>31.5</w:t>
            </w:r>
          </w:p>
        </w:tc>
        <w:tc>
          <w:tcPr>
            <w:tcW w:w="1701" w:type="dxa"/>
          </w:tcPr>
          <w:p w:rsidR="009C5821" w:rsidRDefault="009C5821" w:rsidP="00E964F6">
            <w:pPr>
              <w:pStyle w:val="TableText"/>
            </w:pPr>
            <w:r>
              <w:t>36.8</w:t>
            </w:r>
          </w:p>
        </w:tc>
        <w:tc>
          <w:tcPr>
            <w:tcW w:w="1701" w:type="dxa"/>
          </w:tcPr>
          <w:p w:rsidR="009C5821" w:rsidRDefault="009C5821" w:rsidP="00E964F6">
            <w:pPr>
              <w:pStyle w:val="TableText"/>
            </w:pPr>
            <w:r>
              <w:t>26.7</w:t>
            </w:r>
          </w:p>
        </w:tc>
        <w:tc>
          <w:tcPr>
            <w:tcW w:w="1701" w:type="dxa"/>
          </w:tcPr>
          <w:p w:rsidR="009C5821" w:rsidRDefault="009C5821" w:rsidP="00E964F6">
            <w:pPr>
              <w:pStyle w:val="TableText"/>
            </w:pPr>
            <w:r>
              <w:t>1170</w:t>
            </w:r>
          </w:p>
        </w:tc>
      </w:tr>
      <w:tr w:rsidR="009C5821" w:rsidTr="00E964F6">
        <w:trPr>
          <w:jc w:val="center"/>
        </w:trPr>
        <w:tc>
          <w:tcPr>
            <w:tcW w:w="2835" w:type="dxa"/>
            <w:tcBorders>
              <w:bottom w:val="single" w:sz="4" w:space="0" w:color="auto"/>
            </w:tcBorders>
          </w:tcPr>
          <w:p w:rsidR="009C5821" w:rsidRDefault="009C5821" w:rsidP="00E964F6">
            <w:pPr>
              <w:pStyle w:val="TableText"/>
            </w:pPr>
            <w:r>
              <w:t>University</w:t>
            </w:r>
          </w:p>
        </w:tc>
        <w:tc>
          <w:tcPr>
            <w:tcW w:w="1701" w:type="dxa"/>
            <w:tcBorders>
              <w:bottom w:val="single" w:sz="4" w:space="0" w:color="auto"/>
            </w:tcBorders>
          </w:tcPr>
          <w:p w:rsidR="009C5821" w:rsidRDefault="009C5821" w:rsidP="00E964F6">
            <w:pPr>
              <w:pStyle w:val="TableText"/>
            </w:pPr>
            <w:r>
              <w:t>10.9</w:t>
            </w:r>
          </w:p>
        </w:tc>
        <w:tc>
          <w:tcPr>
            <w:tcW w:w="1701" w:type="dxa"/>
            <w:tcBorders>
              <w:bottom w:val="single" w:sz="4" w:space="0" w:color="auto"/>
            </w:tcBorders>
          </w:tcPr>
          <w:p w:rsidR="009C5821" w:rsidRDefault="009C5821" w:rsidP="00E964F6">
            <w:pPr>
              <w:pStyle w:val="TableText"/>
            </w:pPr>
            <w:r>
              <w:t>4.6</w:t>
            </w:r>
          </w:p>
        </w:tc>
        <w:tc>
          <w:tcPr>
            <w:tcW w:w="1701" w:type="dxa"/>
            <w:tcBorders>
              <w:bottom w:val="single" w:sz="4" w:space="0" w:color="auto"/>
            </w:tcBorders>
          </w:tcPr>
          <w:p w:rsidR="009C5821" w:rsidRDefault="009C5821" w:rsidP="00E964F6">
            <w:pPr>
              <w:pStyle w:val="TableText"/>
            </w:pPr>
            <w:r>
              <w:t>3.8</w:t>
            </w:r>
          </w:p>
        </w:tc>
        <w:tc>
          <w:tcPr>
            <w:tcW w:w="1701" w:type="dxa"/>
            <w:tcBorders>
              <w:bottom w:val="single" w:sz="4" w:space="0" w:color="auto"/>
            </w:tcBorders>
          </w:tcPr>
          <w:p w:rsidR="009C5821" w:rsidRDefault="009C5821" w:rsidP="00E964F6">
            <w:pPr>
              <w:pStyle w:val="TableText"/>
            </w:pPr>
            <w:r>
              <w:t>309</w:t>
            </w:r>
          </w:p>
        </w:tc>
      </w:tr>
      <w:tr w:rsidR="009C5821" w:rsidTr="00E964F6">
        <w:trPr>
          <w:jc w:val="center"/>
        </w:trPr>
        <w:tc>
          <w:tcPr>
            <w:tcW w:w="2835" w:type="dxa"/>
            <w:tcBorders>
              <w:top w:val="single" w:sz="4" w:space="0" w:color="auto"/>
              <w:bottom w:val="single" w:sz="4" w:space="0" w:color="auto"/>
            </w:tcBorders>
          </w:tcPr>
          <w:p w:rsidR="009C5821" w:rsidRDefault="009C5821" w:rsidP="00E964F6">
            <w:pPr>
              <w:pStyle w:val="TableText"/>
            </w:pPr>
            <w:r>
              <w:t>Total</w:t>
            </w:r>
          </w:p>
        </w:tc>
        <w:tc>
          <w:tcPr>
            <w:tcW w:w="1701" w:type="dxa"/>
            <w:tcBorders>
              <w:top w:val="single" w:sz="4" w:space="0" w:color="auto"/>
              <w:bottom w:val="single" w:sz="4" w:space="0" w:color="auto"/>
            </w:tcBorders>
          </w:tcPr>
          <w:p w:rsidR="009C5821" w:rsidRDefault="009C5821" w:rsidP="00E964F6">
            <w:pPr>
              <w:pStyle w:val="TableText"/>
            </w:pPr>
            <w:r>
              <w:t>61.7</w:t>
            </w:r>
          </w:p>
        </w:tc>
        <w:tc>
          <w:tcPr>
            <w:tcW w:w="1701" w:type="dxa"/>
            <w:tcBorders>
              <w:top w:val="single" w:sz="4" w:space="0" w:color="auto"/>
              <w:bottom w:val="single" w:sz="4" w:space="0" w:color="auto"/>
            </w:tcBorders>
          </w:tcPr>
          <w:p w:rsidR="009C5821" w:rsidRDefault="009C5821" w:rsidP="00E964F6">
            <w:pPr>
              <w:pStyle w:val="TableText"/>
            </w:pPr>
            <w:r>
              <w:t>16.0</w:t>
            </w:r>
          </w:p>
        </w:tc>
        <w:tc>
          <w:tcPr>
            <w:tcW w:w="1701" w:type="dxa"/>
            <w:tcBorders>
              <w:top w:val="single" w:sz="4" w:space="0" w:color="auto"/>
              <w:bottom w:val="single" w:sz="4" w:space="0" w:color="auto"/>
            </w:tcBorders>
          </w:tcPr>
          <w:p w:rsidR="009C5821" w:rsidRDefault="009C5821" w:rsidP="00E964F6">
            <w:pPr>
              <w:pStyle w:val="TableText"/>
            </w:pPr>
            <w:r>
              <w:t>22.3</w:t>
            </w:r>
          </w:p>
        </w:tc>
        <w:tc>
          <w:tcPr>
            <w:tcW w:w="1701" w:type="dxa"/>
            <w:tcBorders>
              <w:top w:val="single" w:sz="4" w:space="0" w:color="auto"/>
              <w:bottom w:val="single" w:sz="4" w:space="0" w:color="auto"/>
            </w:tcBorders>
          </w:tcPr>
          <w:p w:rsidR="009C5821" w:rsidRDefault="009C5821" w:rsidP="00E964F6">
            <w:pPr>
              <w:pStyle w:val="TableText"/>
            </w:pPr>
          </w:p>
        </w:tc>
      </w:tr>
    </w:tbl>
    <w:p w:rsidR="009C5821" w:rsidRDefault="009C5821" w:rsidP="009C5821">
      <w:pPr>
        <w:pStyle w:val="TableFootnote"/>
        <w:jc w:val="both"/>
      </w:pPr>
      <w:r>
        <w:t>Note: Working age is defined as 15-64 years for men and 15-59 years for women.</w:t>
      </w:r>
    </w:p>
    <w:p w:rsidR="009C5821" w:rsidRDefault="009C5821" w:rsidP="009C5821">
      <w:pPr>
        <w:pStyle w:val="BodyText"/>
      </w:pPr>
      <w:r>
        <w:t xml:space="preserve">Of those who were in employment, the majority (58%) had up to 8 years education, 31% had a secondary or vocational education and 11% had a university qualification. This reflects the relatively low levels of educational qualifications in the population as a whole and is in line with the fact that most people work in agriculture (53%) and construction (10%). According to the 2001 Census, about a third of all jobs held were temporary, seasonal or occasional. </w:t>
      </w:r>
    </w:p>
    <w:p w:rsidR="009C5821" w:rsidRDefault="009C5821" w:rsidP="009C5821">
      <w:pPr>
        <w:pStyle w:val="Heading3"/>
        <w:jc w:val="both"/>
      </w:pPr>
      <w:r>
        <w:t>Unemployment</w:t>
      </w:r>
    </w:p>
    <w:p w:rsidR="009C5821" w:rsidRDefault="009C5821" w:rsidP="009C5821">
      <w:pPr>
        <w:pStyle w:val="BodyText"/>
      </w:pPr>
      <w:r>
        <w:t>One of the key differences between the Census and the LSMS assessments of the labour market is the fact that it resulted in a lower unemployment rate for women, as many women were not systematically searching for a job. The LSMS is better placed to distinguish the boundaries between discouraged unemployment and inactivity.</w:t>
      </w:r>
    </w:p>
    <w:p w:rsidR="009C5821" w:rsidRDefault="009C5821" w:rsidP="009C5821">
      <w:pPr>
        <w:pStyle w:val="BodyText"/>
      </w:pPr>
      <w:r>
        <w:t xml:space="preserve">The trend in unemployment has been downward between 2002 and 2003 according to the LSMS. INSTAT uses 2 definitions. The standard definition of unemployment requires that </w:t>
      </w:r>
      <w:r>
        <w:lastRenderedPageBreak/>
        <w:t>the individual has actively engaged in some type of job search. The relaxed definition of unemployment also includes seasonal workers or discouraged job seekers, who may be considered as unemployed even though their attachment to the labour force is marginal. Under both definitions, the unemployment rate appears to have fallen by 2 percentage points between the 2 years, which is a substantial achievement. This improvement in employment indicators ties in with the current rates of economic growth.</w:t>
      </w:r>
    </w:p>
    <w:p w:rsidR="009C5821" w:rsidRDefault="009C5821" w:rsidP="009C5821">
      <w:pPr>
        <w:pStyle w:val="Figure"/>
        <w:numPr>
          <w:ilvl w:val="5"/>
          <w:numId w:val="0"/>
        </w:numPr>
        <w:tabs>
          <w:tab w:val="num" w:pos="1152"/>
        </w:tabs>
        <w:ind w:left="1152" w:hanging="1152"/>
        <w:jc w:val="both"/>
      </w:pPr>
      <w:bookmarkStart w:id="6" w:name="_Toc109495261"/>
      <w:r>
        <w:t>Unemployment rate according to the standard and relaxed definitions</w:t>
      </w:r>
      <w:bookmarkEnd w:id="6"/>
    </w:p>
    <w:p w:rsidR="009C5821" w:rsidRDefault="009C5821" w:rsidP="009C5821">
      <w:pPr>
        <w:pStyle w:val="BodyText"/>
      </w:pPr>
      <w:r>
        <w:rPr>
          <w:noProof/>
        </w:rPr>
        <w:drawing>
          <wp:inline distT="0" distB="0" distL="0" distR="0">
            <wp:extent cx="4682490" cy="242760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682490" cy="2427605"/>
                    </a:xfrm>
                    <a:prstGeom prst="rect">
                      <a:avLst/>
                    </a:prstGeom>
                    <a:noFill/>
                    <a:ln w="9525">
                      <a:noFill/>
                      <a:miter lim="800000"/>
                      <a:headEnd/>
                      <a:tailEnd/>
                    </a:ln>
                  </pic:spPr>
                </pic:pic>
              </a:graphicData>
            </a:graphic>
          </wp:inline>
        </w:drawing>
      </w:r>
    </w:p>
    <w:p w:rsidR="009C5821" w:rsidRDefault="009C5821" w:rsidP="009C5821">
      <w:pPr>
        <w:pStyle w:val="TableFootnote"/>
        <w:jc w:val="both"/>
      </w:pPr>
      <w:r>
        <w:t>Source: INSTAT calculations with the 2002 and 2003 LSMS data</w:t>
      </w:r>
    </w:p>
    <w:p w:rsidR="009C5821" w:rsidRDefault="009C5821" w:rsidP="009C5821">
      <w:pPr>
        <w:pStyle w:val="BodyText"/>
      </w:pPr>
      <w:r>
        <w:t xml:space="preserve">The LSMS design, which interviews the same individuals each year, allows a comparison of the employment status across years for the same respondents. </w:t>
      </w:r>
      <w:fldSimple w:instr=" REF _Ref104051273 \r  \* MERGEFORMAT ">
        <w:r>
          <w:t>Table 3.8</w:t>
        </w:r>
      </w:fldSimple>
      <w:r>
        <w:t xml:space="preserve"> shows the employment status for individuals of working age interviewed in 2002 and 2003 and shows that there is a quite a lot of movement between employment states. The percent highlighted in bold on the diagonal shows those who were in the same employment status at each year of the survey. The percentage off the diagonal shows those who had changed their employment status by 2003.</w:t>
      </w:r>
    </w:p>
    <w:p w:rsidR="009C5821" w:rsidRDefault="009C5821" w:rsidP="009C5821">
      <w:pPr>
        <w:pStyle w:val="BodyText"/>
      </w:pPr>
      <w:r>
        <w:t xml:space="preserve">The data suggest that for those who are in employment their status is relatively secure: 87.5% of these people were in employment at both years of the survey. Those who were unemployed in 2002 were the least stable category with just 39.5% giving the same response at both years. On the contrary, 39.6% had moved into employment by 2003 while 21.1% had become inactive, providing some positive evidence that over one third of the unemployed had found employment within a year. </w:t>
      </w:r>
    </w:p>
    <w:p w:rsidR="009C5821" w:rsidRDefault="009C5821" w:rsidP="009C5821">
      <w:pPr>
        <w:pStyle w:val="Table"/>
        <w:numPr>
          <w:ilvl w:val="4"/>
          <w:numId w:val="0"/>
        </w:numPr>
        <w:tabs>
          <w:tab w:val="num" w:pos="1008"/>
        </w:tabs>
        <w:ind w:left="1008" w:hanging="1008"/>
        <w:jc w:val="both"/>
      </w:pPr>
      <w:bookmarkStart w:id="7" w:name="_Toc109495238"/>
      <w:bookmarkStart w:id="8" w:name="_Ref104051273"/>
      <w:r>
        <w:t>Employment status of working age individuals, 2002 and 2003 (%)</w:t>
      </w:r>
      <w:bookmarkEnd w:id="7"/>
    </w:p>
    <w:bookmarkEnd w:id="8"/>
    <w:tbl>
      <w:tblPr>
        <w:tblW w:w="9854" w:type="dxa"/>
        <w:jc w:val="center"/>
        <w:tblLook w:val="01E0"/>
      </w:tblPr>
      <w:tblGrid>
        <w:gridCol w:w="1716"/>
        <w:gridCol w:w="1875"/>
        <w:gridCol w:w="1612"/>
        <w:gridCol w:w="1662"/>
        <w:gridCol w:w="1573"/>
        <w:gridCol w:w="1416"/>
      </w:tblGrid>
      <w:tr w:rsidR="009C5821" w:rsidTr="00E964F6">
        <w:trPr>
          <w:jc w:val="center"/>
        </w:trPr>
        <w:tc>
          <w:tcPr>
            <w:tcW w:w="1716" w:type="dxa"/>
            <w:vAlign w:val="center"/>
          </w:tcPr>
          <w:p w:rsidR="009C5821" w:rsidRDefault="009C5821" w:rsidP="00E964F6">
            <w:pPr>
              <w:pStyle w:val="TableText"/>
            </w:pPr>
          </w:p>
        </w:tc>
        <w:tc>
          <w:tcPr>
            <w:tcW w:w="1875" w:type="dxa"/>
            <w:vAlign w:val="center"/>
          </w:tcPr>
          <w:p w:rsidR="009C5821" w:rsidRDefault="009C5821" w:rsidP="00E964F6">
            <w:pPr>
              <w:pStyle w:val="TableText"/>
            </w:pPr>
          </w:p>
        </w:tc>
        <w:tc>
          <w:tcPr>
            <w:tcW w:w="1612" w:type="dxa"/>
            <w:vAlign w:val="center"/>
          </w:tcPr>
          <w:p w:rsidR="009C5821" w:rsidRDefault="009C5821" w:rsidP="00E964F6">
            <w:pPr>
              <w:pStyle w:val="TableText"/>
            </w:pPr>
          </w:p>
        </w:tc>
        <w:tc>
          <w:tcPr>
            <w:tcW w:w="1662" w:type="dxa"/>
            <w:vAlign w:val="center"/>
          </w:tcPr>
          <w:p w:rsidR="009C5821" w:rsidRDefault="009C5821" w:rsidP="00E964F6">
            <w:pPr>
              <w:pStyle w:val="TableText"/>
            </w:pPr>
            <w:r>
              <w:t>2002</w:t>
            </w:r>
          </w:p>
        </w:tc>
        <w:tc>
          <w:tcPr>
            <w:tcW w:w="1573" w:type="dxa"/>
            <w:vAlign w:val="center"/>
          </w:tcPr>
          <w:p w:rsidR="009C5821" w:rsidRDefault="009C5821" w:rsidP="00E964F6">
            <w:pPr>
              <w:pStyle w:val="TableText"/>
            </w:pPr>
          </w:p>
        </w:tc>
        <w:tc>
          <w:tcPr>
            <w:tcW w:w="1416" w:type="dxa"/>
          </w:tcPr>
          <w:p w:rsidR="009C5821" w:rsidRDefault="009C5821" w:rsidP="00E964F6">
            <w:pPr>
              <w:pStyle w:val="TableText"/>
            </w:pPr>
          </w:p>
        </w:tc>
      </w:tr>
      <w:tr w:rsidR="009C5821" w:rsidTr="00E964F6">
        <w:trPr>
          <w:jc w:val="center"/>
        </w:trPr>
        <w:tc>
          <w:tcPr>
            <w:tcW w:w="1716" w:type="dxa"/>
          </w:tcPr>
          <w:p w:rsidR="009C5821" w:rsidRDefault="009C5821" w:rsidP="00E964F6">
            <w:pPr>
              <w:pStyle w:val="TableText"/>
            </w:pPr>
          </w:p>
        </w:tc>
        <w:tc>
          <w:tcPr>
            <w:tcW w:w="1875" w:type="dxa"/>
          </w:tcPr>
          <w:p w:rsidR="009C5821" w:rsidRDefault="009C5821" w:rsidP="00E964F6">
            <w:pPr>
              <w:pStyle w:val="TableText"/>
            </w:pPr>
          </w:p>
        </w:tc>
        <w:tc>
          <w:tcPr>
            <w:tcW w:w="1612" w:type="dxa"/>
            <w:tcBorders>
              <w:bottom w:val="single" w:sz="4" w:space="0" w:color="auto"/>
            </w:tcBorders>
          </w:tcPr>
          <w:p w:rsidR="009C5821" w:rsidRDefault="009C5821" w:rsidP="00E964F6">
            <w:pPr>
              <w:pStyle w:val="TableText"/>
            </w:pPr>
            <w:r>
              <w:t>Employed</w:t>
            </w:r>
          </w:p>
        </w:tc>
        <w:tc>
          <w:tcPr>
            <w:tcW w:w="1662" w:type="dxa"/>
            <w:tcBorders>
              <w:bottom w:val="single" w:sz="4" w:space="0" w:color="auto"/>
            </w:tcBorders>
          </w:tcPr>
          <w:p w:rsidR="009C5821" w:rsidRDefault="009C5821" w:rsidP="00E964F6">
            <w:pPr>
              <w:pStyle w:val="TableText"/>
            </w:pPr>
            <w:r>
              <w:t>Unemployed</w:t>
            </w:r>
          </w:p>
        </w:tc>
        <w:tc>
          <w:tcPr>
            <w:tcW w:w="1573" w:type="dxa"/>
            <w:tcBorders>
              <w:bottom w:val="single" w:sz="4" w:space="0" w:color="auto"/>
            </w:tcBorders>
          </w:tcPr>
          <w:p w:rsidR="009C5821" w:rsidRDefault="009C5821" w:rsidP="00E964F6">
            <w:pPr>
              <w:pStyle w:val="TableText"/>
            </w:pPr>
            <w:r>
              <w:t>Inactive</w:t>
            </w:r>
          </w:p>
        </w:tc>
        <w:tc>
          <w:tcPr>
            <w:tcW w:w="1416" w:type="dxa"/>
          </w:tcPr>
          <w:p w:rsidR="009C5821" w:rsidRDefault="009C5821" w:rsidP="00E964F6">
            <w:pPr>
              <w:pStyle w:val="TableText"/>
            </w:pPr>
          </w:p>
        </w:tc>
      </w:tr>
      <w:tr w:rsidR="009C5821" w:rsidTr="00E964F6">
        <w:trPr>
          <w:jc w:val="center"/>
        </w:trPr>
        <w:tc>
          <w:tcPr>
            <w:tcW w:w="1716" w:type="dxa"/>
          </w:tcPr>
          <w:p w:rsidR="009C5821" w:rsidRDefault="009C5821" w:rsidP="00E964F6">
            <w:pPr>
              <w:pStyle w:val="TableText"/>
            </w:pPr>
          </w:p>
        </w:tc>
        <w:tc>
          <w:tcPr>
            <w:tcW w:w="1875" w:type="dxa"/>
            <w:tcBorders>
              <w:right w:val="single" w:sz="4" w:space="0" w:color="auto"/>
            </w:tcBorders>
          </w:tcPr>
          <w:p w:rsidR="009C5821" w:rsidRDefault="009C5821" w:rsidP="00E964F6">
            <w:pPr>
              <w:pStyle w:val="TableText"/>
            </w:pPr>
            <w:r>
              <w:t>Employed</w:t>
            </w:r>
          </w:p>
        </w:tc>
        <w:tc>
          <w:tcPr>
            <w:tcW w:w="1612"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87.5</w:t>
            </w:r>
          </w:p>
        </w:tc>
        <w:tc>
          <w:tcPr>
            <w:tcW w:w="1662"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39.6</w:t>
            </w:r>
          </w:p>
        </w:tc>
        <w:tc>
          <w:tcPr>
            <w:tcW w:w="1573"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20.6</w:t>
            </w:r>
          </w:p>
        </w:tc>
        <w:tc>
          <w:tcPr>
            <w:tcW w:w="1416" w:type="dxa"/>
            <w:tcBorders>
              <w:left w:val="single" w:sz="4" w:space="0" w:color="auto"/>
            </w:tcBorders>
          </w:tcPr>
          <w:p w:rsidR="009C5821" w:rsidRDefault="009C5821" w:rsidP="00E964F6">
            <w:pPr>
              <w:pStyle w:val="TableText"/>
            </w:pPr>
          </w:p>
        </w:tc>
      </w:tr>
      <w:tr w:rsidR="009C5821" w:rsidTr="00E964F6">
        <w:trPr>
          <w:jc w:val="center"/>
        </w:trPr>
        <w:tc>
          <w:tcPr>
            <w:tcW w:w="1716" w:type="dxa"/>
          </w:tcPr>
          <w:p w:rsidR="009C5821" w:rsidRDefault="009C5821" w:rsidP="00E964F6">
            <w:pPr>
              <w:pStyle w:val="TableText"/>
            </w:pPr>
            <w:r>
              <w:t>2003</w:t>
            </w:r>
          </w:p>
        </w:tc>
        <w:tc>
          <w:tcPr>
            <w:tcW w:w="1875" w:type="dxa"/>
            <w:tcBorders>
              <w:right w:val="single" w:sz="4" w:space="0" w:color="auto"/>
            </w:tcBorders>
            <w:vAlign w:val="center"/>
          </w:tcPr>
          <w:p w:rsidR="009C5821" w:rsidRDefault="009C5821" w:rsidP="00E964F6">
            <w:pPr>
              <w:pStyle w:val="TableText"/>
            </w:pPr>
            <w:r>
              <w:t>Unemployed</w:t>
            </w:r>
          </w:p>
        </w:tc>
        <w:tc>
          <w:tcPr>
            <w:tcW w:w="1612"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4.8</w:t>
            </w:r>
          </w:p>
        </w:tc>
        <w:tc>
          <w:tcPr>
            <w:tcW w:w="1662"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39.3</w:t>
            </w:r>
          </w:p>
        </w:tc>
        <w:tc>
          <w:tcPr>
            <w:tcW w:w="1573"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11.2</w:t>
            </w:r>
          </w:p>
        </w:tc>
        <w:tc>
          <w:tcPr>
            <w:tcW w:w="1416" w:type="dxa"/>
            <w:tcBorders>
              <w:left w:val="single" w:sz="4" w:space="0" w:color="auto"/>
            </w:tcBorders>
          </w:tcPr>
          <w:p w:rsidR="009C5821" w:rsidRDefault="009C5821" w:rsidP="00E964F6">
            <w:pPr>
              <w:pStyle w:val="TableText"/>
            </w:pPr>
          </w:p>
        </w:tc>
      </w:tr>
      <w:tr w:rsidR="009C5821" w:rsidTr="00E964F6">
        <w:trPr>
          <w:jc w:val="center"/>
        </w:trPr>
        <w:tc>
          <w:tcPr>
            <w:tcW w:w="1716" w:type="dxa"/>
          </w:tcPr>
          <w:p w:rsidR="009C5821" w:rsidRDefault="009C5821" w:rsidP="00E964F6">
            <w:pPr>
              <w:pStyle w:val="TableText"/>
            </w:pPr>
          </w:p>
        </w:tc>
        <w:tc>
          <w:tcPr>
            <w:tcW w:w="1875" w:type="dxa"/>
            <w:tcBorders>
              <w:right w:val="single" w:sz="4" w:space="0" w:color="auto"/>
            </w:tcBorders>
          </w:tcPr>
          <w:p w:rsidR="009C5821" w:rsidRDefault="009C5821" w:rsidP="00E964F6">
            <w:pPr>
              <w:pStyle w:val="TableText"/>
            </w:pPr>
            <w:r>
              <w:t>Inactive</w:t>
            </w:r>
          </w:p>
        </w:tc>
        <w:tc>
          <w:tcPr>
            <w:tcW w:w="1612"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7.7</w:t>
            </w:r>
          </w:p>
        </w:tc>
        <w:tc>
          <w:tcPr>
            <w:tcW w:w="1662"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21.1</w:t>
            </w:r>
          </w:p>
        </w:tc>
        <w:tc>
          <w:tcPr>
            <w:tcW w:w="1573"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68.2</w:t>
            </w:r>
          </w:p>
        </w:tc>
        <w:tc>
          <w:tcPr>
            <w:tcW w:w="1416" w:type="dxa"/>
            <w:tcBorders>
              <w:left w:val="single" w:sz="4" w:space="0" w:color="auto"/>
            </w:tcBorders>
          </w:tcPr>
          <w:p w:rsidR="009C5821" w:rsidRDefault="009C5821" w:rsidP="00E964F6">
            <w:pPr>
              <w:pStyle w:val="TableText"/>
            </w:pPr>
          </w:p>
        </w:tc>
      </w:tr>
      <w:tr w:rsidR="009C5821" w:rsidTr="00E964F6">
        <w:trPr>
          <w:jc w:val="center"/>
        </w:trPr>
        <w:tc>
          <w:tcPr>
            <w:tcW w:w="1716" w:type="dxa"/>
          </w:tcPr>
          <w:p w:rsidR="009C5821" w:rsidRDefault="009C5821" w:rsidP="00E964F6">
            <w:pPr>
              <w:pStyle w:val="TableText"/>
            </w:pPr>
          </w:p>
        </w:tc>
        <w:tc>
          <w:tcPr>
            <w:tcW w:w="1875" w:type="dxa"/>
            <w:tcBorders>
              <w:right w:val="single" w:sz="4" w:space="0" w:color="auto"/>
            </w:tcBorders>
          </w:tcPr>
          <w:p w:rsidR="009C5821" w:rsidRDefault="009C5821" w:rsidP="00E964F6">
            <w:pPr>
              <w:pStyle w:val="TableText"/>
            </w:pPr>
          </w:p>
        </w:tc>
        <w:tc>
          <w:tcPr>
            <w:tcW w:w="1612"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100</w:t>
            </w:r>
          </w:p>
        </w:tc>
        <w:tc>
          <w:tcPr>
            <w:tcW w:w="1662"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100</w:t>
            </w:r>
          </w:p>
        </w:tc>
        <w:tc>
          <w:tcPr>
            <w:tcW w:w="1573" w:type="dxa"/>
            <w:tcBorders>
              <w:top w:val="single" w:sz="4" w:space="0" w:color="auto"/>
              <w:left w:val="single" w:sz="4" w:space="0" w:color="auto"/>
              <w:bottom w:val="single" w:sz="4" w:space="0" w:color="auto"/>
              <w:right w:val="single" w:sz="4" w:space="0" w:color="auto"/>
            </w:tcBorders>
          </w:tcPr>
          <w:p w:rsidR="009C5821" w:rsidRDefault="009C5821" w:rsidP="00E964F6">
            <w:pPr>
              <w:pStyle w:val="TableText"/>
            </w:pPr>
            <w:r>
              <w:t>100</w:t>
            </w:r>
          </w:p>
        </w:tc>
        <w:tc>
          <w:tcPr>
            <w:tcW w:w="1416" w:type="dxa"/>
            <w:tcBorders>
              <w:left w:val="single" w:sz="4" w:space="0" w:color="auto"/>
            </w:tcBorders>
          </w:tcPr>
          <w:p w:rsidR="009C5821" w:rsidRDefault="009C5821" w:rsidP="00E964F6">
            <w:pPr>
              <w:pStyle w:val="TableText"/>
            </w:pPr>
          </w:p>
        </w:tc>
      </w:tr>
    </w:tbl>
    <w:p w:rsidR="009C5821" w:rsidRDefault="009C5821" w:rsidP="009C5821">
      <w:pPr>
        <w:pStyle w:val="BodyText"/>
      </w:pPr>
    </w:p>
    <w:p w:rsidR="009C5821" w:rsidRDefault="009C5821" w:rsidP="009C5821">
      <w:pPr>
        <w:pStyle w:val="BodyText"/>
      </w:pPr>
      <w:r>
        <w:lastRenderedPageBreak/>
        <w:t xml:space="preserve">Those who were not working were asked about their job search behaviour and how they had gone about looking for work. When people were asked in 2002 about their efforts to find a job, 64% of them said that they had looked for work through friends or a relative, 26% through a labour office and 4% through contacting the employer. The length of time people spend looking for work varies but for many people it is a long process.  On average, 32% of respondents who were not in work in 2002 had been looking for work from between 12 to 23 months and at 2003, 42% of respondents had spent up to 2 years looking for work. With relatively long periods of unemployment, there is a danger that some people may stop trying to find work.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9C5821" w:rsidTr="00E964F6">
        <w:trPr>
          <w:jc w:val="center"/>
        </w:trPr>
        <w:tc>
          <w:tcPr>
            <w:tcW w:w="9923" w:type="dxa"/>
          </w:tcPr>
          <w:p w:rsidR="009C5821" w:rsidRDefault="009C5821" w:rsidP="00E964F6">
            <w:pPr>
              <w:pStyle w:val="Heading3"/>
              <w:jc w:val="both"/>
            </w:pPr>
            <w:r>
              <w:t>Investing the earnings from international migration</w:t>
            </w:r>
          </w:p>
          <w:p w:rsidR="009C5821" w:rsidRDefault="009C5821" w:rsidP="00E964F6">
            <w:pPr>
              <w:pStyle w:val="BodyText"/>
            </w:pPr>
            <w:r>
              <w:t>The decision to migrate is considered the result of a joint decision by members of a household and assumes that the household members share the costs and benefits of this decision. This explains the motivation of migrants to remit earnings to household members.</w:t>
            </w:r>
          </w:p>
          <w:p w:rsidR="009C5821" w:rsidRDefault="009C5821" w:rsidP="00E964F6">
            <w:pPr>
              <w:pStyle w:val="BodyText"/>
            </w:pPr>
            <w:r>
              <w:t xml:space="preserve">Earnings from migration do not only return to Albania in the form of remittances by household members who reside permanently abroad but is also brought back by temporary migrants who spend limited parts of the year outside the country. Short-term migration is a less well known phenomenon. Evidence on it is provided by the 2002 LSMS. The survey included information on the migration history of individuals who had been abroad for at least 3 months at any time between 1997 and 2001 but were in Albania at the time of the survey. A fifth of households have members who have been temporary migrants, whereas a third of households have members who are permanent migrants. </w:t>
            </w:r>
          </w:p>
          <w:p w:rsidR="009C5821" w:rsidRDefault="009C5821" w:rsidP="00E964F6">
            <w:pPr>
              <w:pStyle w:val="BodyText"/>
            </w:pPr>
            <w:r>
              <w:t>A study based on these data</w:t>
            </w:r>
            <w:r>
              <w:rPr>
                <w:vertAlign w:val="superscript"/>
              </w:rPr>
              <w:t>1</w:t>
            </w:r>
            <w:r>
              <w:t xml:space="preserve"> shows that households with temporary migrants are larger than the average Albanian household. Households whose members migrate temporarily to Greece tend to live in rural areas of the central and mountain zones, are poorer and less educated. Households whose members migrate temporarily to Italy tend to originate from the rural areas of the coastal zones, are better off and more educated than the average household.</w:t>
            </w:r>
          </w:p>
          <w:tbl>
            <w:tblPr>
              <w:tblW w:w="0" w:type="auto"/>
              <w:jc w:val="center"/>
              <w:tblLayout w:type="fixed"/>
              <w:tblLook w:val="01E0"/>
            </w:tblPr>
            <w:tblGrid>
              <w:gridCol w:w="5103"/>
              <w:gridCol w:w="1134"/>
              <w:gridCol w:w="1134"/>
              <w:gridCol w:w="1134"/>
            </w:tblGrid>
            <w:tr w:rsidR="009C5821" w:rsidTr="00E964F6">
              <w:trPr>
                <w:jc w:val="center"/>
              </w:trPr>
              <w:tc>
                <w:tcPr>
                  <w:tcW w:w="5103" w:type="dxa"/>
                  <w:tcBorders>
                    <w:top w:val="single" w:sz="4" w:space="0" w:color="auto"/>
                    <w:bottom w:val="single" w:sz="4" w:space="0" w:color="auto"/>
                  </w:tcBorders>
                </w:tcPr>
                <w:p w:rsidR="009C5821" w:rsidRDefault="009C5821" w:rsidP="00E964F6">
                  <w:pPr>
                    <w:pStyle w:val="TableText"/>
                  </w:pPr>
                  <w:r>
                    <w:t xml:space="preserve">Characteristics of households </w:t>
                  </w:r>
                  <w:r>
                    <w:br/>
                    <w:t>with temporary migrant members</w:t>
                  </w:r>
                </w:p>
              </w:tc>
              <w:tc>
                <w:tcPr>
                  <w:tcW w:w="1134" w:type="dxa"/>
                  <w:tcBorders>
                    <w:top w:val="single" w:sz="4" w:space="0" w:color="auto"/>
                    <w:bottom w:val="single" w:sz="4" w:space="0" w:color="auto"/>
                  </w:tcBorders>
                </w:tcPr>
                <w:p w:rsidR="009C5821" w:rsidRDefault="009C5821" w:rsidP="00E964F6">
                  <w:pPr>
                    <w:pStyle w:val="TableText"/>
                  </w:pPr>
                  <w:r>
                    <w:t>No migrants</w:t>
                  </w:r>
                </w:p>
              </w:tc>
              <w:tc>
                <w:tcPr>
                  <w:tcW w:w="1134" w:type="dxa"/>
                  <w:tcBorders>
                    <w:top w:val="single" w:sz="4" w:space="0" w:color="auto"/>
                    <w:bottom w:val="single" w:sz="4" w:space="0" w:color="auto"/>
                  </w:tcBorders>
                </w:tcPr>
                <w:p w:rsidR="009C5821" w:rsidRDefault="009C5821" w:rsidP="00E964F6">
                  <w:pPr>
                    <w:pStyle w:val="TableText"/>
                  </w:pPr>
                  <w:r>
                    <w:t>Migrants</w:t>
                  </w:r>
                  <w:r>
                    <w:br/>
                    <w:t>to Greece</w:t>
                  </w:r>
                </w:p>
              </w:tc>
              <w:tc>
                <w:tcPr>
                  <w:tcW w:w="1134" w:type="dxa"/>
                  <w:tcBorders>
                    <w:top w:val="single" w:sz="4" w:space="0" w:color="auto"/>
                    <w:bottom w:val="single" w:sz="4" w:space="0" w:color="auto"/>
                  </w:tcBorders>
                </w:tcPr>
                <w:p w:rsidR="009C5821" w:rsidRDefault="009C5821" w:rsidP="00E964F6">
                  <w:pPr>
                    <w:pStyle w:val="TableText"/>
                  </w:pPr>
                  <w:r>
                    <w:t xml:space="preserve">Migrants </w:t>
                  </w:r>
                  <w:r>
                    <w:br/>
                    <w:t>to Italy</w:t>
                  </w:r>
                </w:p>
              </w:tc>
            </w:tr>
            <w:tr w:rsidR="009C5821" w:rsidTr="00E964F6">
              <w:trPr>
                <w:jc w:val="center"/>
              </w:trPr>
              <w:tc>
                <w:tcPr>
                  <w:tcW w:w="5103" w:type="dxa"/>
                  <w:tcBorders>
                    <w:top w:val="single" w:sz="4" w:space="0" w:color="auto"/>
                  </w:tcBorders>
                </w:tcPr>
                <w:p w:rsidR="009C5821" w:rsidRDefault="009C5821" w:rsidP="00E964F6">
                  <w:pPr>
                    <w:pStyle w:val="TableText"/>
                  </w:pPr>
                  <w:r>
                    <w:t>Household size (members)</w:t>
                  </w:r>
                </w:p>
              </w:tc>
              <w:tc>
                <w:tcPr>
                  <w:tcW w:w="1134" w:type="dxa"/>
                  <w:tcBorders>
                    <w:top w:val="single" w:sz="4" w:space="0" w:color="auto"/>
                  </w:tcBorders>
                </w:tcPr>
                <w:p w:rsidR="009C5821" w:rsidRDefault="009C5821" w:rsidP="00E964F6">
                  <w:pPr>
                    <w:pStyle w:val="TableText"/>
                  </w:pPr>
                  <w:r>
                    <w:t>4.2</w:t>
                  </w:r>
                </w:p>
              </w:tc>
              <w:tc>
                <w:tcPr>
                  <w:tcW w:w="1134" w:type="dxa"/>
                  <w:tcBorders>
                    <w:top w:val="single" w:sz="4" w:space="0" w:color="auto"/>
                  </w:tcBorders>
                </w:tcPr>
                <w:p w:rsidR="009C5821" w:rsidRDefault="009C5821" w:rsidP="00E964F6">
                  <w:pPr>
                    <w:pStyle w:val="TableText"/>
                  </w:pPr>
                  <w:r>
                    <w:t>4.7</w:t>
                  </w:r>
                </w:p>
              </w:tc>
              <w:tc>
                <w:tcPr>
                  <w:tcW w:w="1134" w:type="dxa"/>
                  <w:tcBorders>
                    <w:top w:val="single" w:sz="4" w:space="0" w:color="auto"/>
                  </w:tcBorders>
                </w:tcPr>
                <w:p w:rsidR="009C5821" w:rsidRDefault="009C5821" w:rsidP="00E964F6">
                  <w:pPr>
                    <w:pStyle w:val="TableText"/>
                  </w:pPr>
                  <w:r>
                    <w:t>4.5</w:t>
                  </w:r>
                </w:p>
              </w:tc>
            </w:tr>
            <w:tr w:rsidR="009C5821" w:rsidTr="00E964F6">
              <w:trPr>
                <w:jc w:val="center"/>
              </w:trPr>
              <w:tc>
                <w:tcPr>
                  <w:tcW w:w="5103" w:type="dxa"/>
                </w:tcPr>
                <w:p w:rsidR="009C5821" w:rsidRDefault="009C5821" w:rsidP="00E964F6">
                  <w:pPr>
                    <w:pStyle w:val="TableText"/>
                  </w:pPr>
                  <w:r>
                    <w:t>Average education (years)</w:t>
                  </w:r>
                </w:p>
              </w:tc>
              <w:tc>
                <w:tcPr>
                  <w:tcW w:w="1134" w:type="dxa"/>
                </w:tcPr>
                <w:p w:rsidR="009C5821" w:rsidRDefault="009C5821" w:rsidP="00E964F6">
                  <w:pPr>
                    <w:pStyle w:val="TableText"/>
                  </w:pPr>
                  <w:r>
                    <w:t>8.6</w:t>
                  </w:r>
                </w:p>
              </w:tc>
              <w:tc>
                <w:tcPr>
                  <w:tcW w:w="1134" w:type="dxa"/>
                </w:tcPr>
                <w:p w:rsidR="009C5821" w:rsidRDefault="009C5821" w:rsidP="00E964F6">
                  <w:pPr>
                    <w:pStyle w:val="TableText"/>
                  </w:pPr>
                  <w:r>
                    <w:t>8.4</w:t>
                  </w:r>
                </w:p>
              </w:tc>
              <w:tc>
                <w:tcPr>
                  <w:tcW w:w="1134" w:type="dxa"/>
                </w:tcPr>
                <w:p w:rsidR="009C5821" w:rsidRDefault="009C5821" w:rsidP="00E964F6">
                  <w:pPr>
                    <w:pStyle w:val="TableText"/>
                  </w:pPr>
                  <w:r>
                    <w:t>9.4</w:t>
                  </w:r>
                </w:p>
              </w:tc>
            </w:tr>
            <w:tr w:rsidR="009C5821" w:rsidTr="00E964F6">
              <w:trPr>
                <w:jc w:val="center"/>
              </w:trPr>
              <w:tc>
                <w:tcPr>
                  <w:tcW w:w="5103" w:type="dxa"/>
                </w:tcPr>
                <w:p w:rsidR="009C5821" w:rsidRDefault="009C5821" w:rsidP="00E964F6">
                  <w:pPr>
                    <w:pStyle w:val="TableText"/>
                  </w:pPr>
                  <w:r>
                    <w:t>Monthly consumption per capita (</w:t>
                  </w:r>
                  <w:proofErr w:type="spellStart"/>
                  <w:r>
                    <w:t>Lek</w:t>
                  </w:r>
                  <w:proofErr w:type="spellEnd"/>
                  <w:r>
                    <w:t>)</w:t>
                  </w:r>
                </w:p>
              </w:tc>
              <w:tc>
                <w:tcPr>
                  <w:tcW w:w="1134" w:type="dxa"/>
                </w:tcPr>
                <w:p w:rsidR="009C5821" w:rsidRDefault="009C5821" w:rsidP="00E964F6">
                  <w:pPr>
                    <w:pStyle w:val="TableText"/>
                  </w:pPr>
                  <w:r>
                    <w:t>7841</w:t>
                  </w:r>
                </w:p>
              </w:tc>
              <w:tc>
                <w:tcPr>
                  <w:tcW w:w="1134" w:type="dxa"/>
                </w:tcPr>
                <w:p w:rsidR="009C5821" w:rsidRDefault="009C5821" w:rsidP="00E964F6">
                  <w:pPr>
                    <w:pStyle w:val="TableText"/>
                  </w:pPr>
                  <w:r>
                    <w:t>7019</w:t>
                  </w:r>
                </w:p>
              </w:tc>
              <w:tc>
                <w:tcPr>
                  <w:tcW w:w="1134" w:type="dxa"/>
                </w:tcPr>
                <w:p w:rsidR="009C5821" w:rsidRDefault="009C5821" w:rsidP="00E964F6">
                  <w:pPr>
                    <w:pStyle w:val="TableText"/>
                  </w:pPr>
                  <w:r>
                    <w:t>9205</w:t>
                  </w:r>
                </w:p>
              </w:tc>
            </w:tr>
            <w:tr w:rsidR="009C5821" w:rsidTr="00E964F6">
              <w:trPr>
                <w:jc w:val="center"/>
              </w:trPr>
              <w:tc>
                <w:tcPr>
                  <w:tcW w:w="5103" w:type="dxa"/>
                </w:tcPr>
                <w:p w:rsidR="009C5821" w:rsidRDefault="009C5821" w:rsidP="00E964F6">
                  <w:pPr>
                    <w:pStyle w:val="TableText"/>
                  </w:pPr>
                  <w:r>
                    <w:t>Living in rural areas of the coastal zone (%)</w:t>
                  </w:r>
                </w:p>
              </w:tc>
              <w:tc>
                <w:tcPr>
                  <w:tcW w:w="1134" w:type="dxa"/>
                </w:tcPr>
                <w:p w:rsidR="009C5821" w:rsidRDefault="009C5821" w:rsidP="00E964F6">
                  <w:pPr>
                    <w:pStyle w:val="TableText"/>
                  </w:pPr>
                  <w:r>
                    <w:t>80</w:t>
                  </w:r>
                </w:p>
              </w:tc>
              <w:tc>
                <w:tcPr>
                  <w:tcW w:w="1134" w:type="dxa"/>
                </w:tcPr>
                <w:p w:rsidR="009C5821" w:rsidRDefault="009C5821" w:rsidP="00E964F6">
                  <w:pPr>
                    <w:pStyle w:val="TableText"/>
                  </w:pPr>
                  <w:r>
                    <w:t>13</w:t>
                  </w:r>
                </w:p>
              </w:tc>
              <w:tc>
                <w:tcPr>
                  <w:tcW w:w="1134" w:type="dxa"/>
                </w:tcPr>
                <w:p w:rsidR="009C5821" w:rsidRDefault="009C5821" w:rsidP="00E964F6">
                  <w:pPr>
                    <w:pStyle w:val="TableText"/>
                  </w:pPr>
                  <w:r>
                    <w:t>7</w:t>
                  </w:r>
                </w:p>
              </w:tc>
            </w:tr>
            <w:tr w:rsidR="009C5821" w:rsidTr="00E964F6">
              <w:trPr>
                <w:jc w:val="center"/>
              </w:trPr>
              <w:tc>
                <w:tcPr>
                  <w:tcW w:w="5103" w:type="dxa"/>
                </w:tcPr>
                <w:p w:rsidR="009C5821" w:rsidRDefault="009C5821" w:rsidP="00E964F6">
                  <w:pPr>
                    <w:pStyle w:val="TableText"/>
                  </w:pPr>
                  <w:r>
                    <w:t>Living in rural areas of the central zone (%)</w:t>
                  </w:r>
                </w:p>
              </w:tc>
              <w:tc>
                <w:tcPr>
                  <w:tcW w:w="1134" w:type="dxa"/>
                </w:tcPr>
                <w:p w:rsidR="009C5821" w:rsidRDefault="009C5821" w:rsidP="00E964F6">
                  <w:pPr>
                    <w:pStyle w:val="TableText"/>
                  </w:pPr>
                  <w:r>
                    <w:t>77</w:t>
                  </w:r>
                </w:p>
              </w:tc>
              <w:tc>
                <w:tcPr>
                  <w:tcW w:w="1134" w:type="dxa"/>
                </w:tcPr>
                <w:p w:rsidR="009C5821" w:rsidRDefault="009C5821" w:rsidP="00E964F6">
                  <w:pPr>
                    <w:pStyle w:val="TableText"/>
                  </w:pPr>
                  <w:r>
                    <w:t>20</w:t>
                  </w:r>
                </w:p>
              </w:tc>
              <w:tc>
                <w:tcPr>
                  <w:tcW w:w="1134" w:type="dxa"/>
                </w:tcPr>
                <w:p w:rsidR="009C5821" w:rsidRDefault="009C5821" w:rsidP="00E964F6">
                  <w:pPr>
                    <w:pStyle w:val="TableText"/>
                  </w:pPr>
                  <w:r>
                    <w:t>3</w:t>
                  </w:r>
                </w:p>
              </w:tc>
            </w:tr>
            <w:tr w:rsidR="009C5821" w:rsidTr="00E964F6">
              <w:trPr>
                <w:jc w:val="center"/>
              </w:trPr>
              <w:tc>
                <w:tcPr>
                  <w:tcW w:w="5103" w:type="dxa"/>
                  <w:tcBorders>
                    <w:bottom w:val="single" w:sz="4" w:space="0" w:color="auto"/>
                  </w:tcBorders>
                </w:tcPr>
                <w:p w:rsidR="009C5821" w:rsidRDefault="009C5821" w:rsidP="00E964F6">
                  <w:pPr>
                    <w:pStyle w:val="TableText"/>
                  </w:pPr>
                  <w:r>
                    <w:t>Living in rural areas of the mountain zone (%)</w:t>
                  </w:r>
                </w:p>
              </w:tc>
              <w:tc>
                <w:tcPr>
                  <w:tcW w:w="1134" w:type="dxa"/>
                  <w:tcBorders>
                    <w:bottom w:val="single" w:sz="4" w:space="0" w:color="auto"/>
                  </w:tcBorders>
                </w:tcPr>
                <w:p w:rsidR="009C5821" w:rsidRDefault="009C5821" w:rsidP="00E964F6">
                  <w:pPr>
                    <w:pStyle w:val="TableText"/>
                  </w:pPr>
                  <w:r>
                    <w:t>76</w:t>
                  </w:r>
                </w:p>
              </w:tc>
              <w:tc>
                <w:tcPr>
                  <w:tcW w:w="1134" w:type="dxa"/>
                  <w:tcBorders>
                    <w:bottom w:val="single" w:sz="4" w:space="0" w:color="auto"/>
                  </w:tcBorders>
                </w:tcPr>
                <w:p w:rsidR="009C5821" w:rsidRDefault="009C5821" w:rsidP="00E964F6">
                  <w:pPr>
                    <w:pStyle w:val="TableText"/>
                  </w:pPr>
                  <w:r>
                    <w:t>19</w:t>
                  </w:r>
                </w:p>
              </w:tc>
              <w:tc>
                <w:tcPr>
                  <w:tcW w:w="1134" w:type="dxa"/>
                  <w:tcBorders>
                    <w:bottom w:val="single" w:sz="4" w:space="0" w:color="auto"/>
                  </w:tcBorders>
                </w:tcPr>
                <w:p w:rsidR="009C5821" w:rsidRDefault="009C5821" w:rsidP="00E964F6">
                  <w:pPr>
                    <w:pStyle w:val="TableText"/>
                  </w:pPr>
                  <w:r>
                    <w:t>5</w:t>
                  </w:r>
                </w:p>
              </w:tc>
            </w:tr>
            <w:tr w:rsidR="009C5821" w:rsidTr="00E964F6">
              <w:trPr>
                <w:jc w:val="center"/>
              </w:trPr>
              <w:tc>
                <w:tcPr>
                  <w:tcW w:w="5103" w:type="dxa"/>
                  <w:tcBorders>
                    <w:bottom w:val="single" w:sz="4" w:space="0" w:color="auto"/>
                  </w:tcBorders>
                </w:tcPr>
                <w:p w:rsidR="009C5821" w:rsidRDefault="009C5821" w:rsidP="00E964F6">
                  <w:pPr>
                    <w:pStyle w:val="TableText"/>
                  </w:pPr>
                  <w:r>
                    <w:t>Proportion of households (%)</w:t>
                  </w:r>
                </w:p>
              </w:tc>
              <w:tc>
                <w:tcPr>
                  <w:tcW w:w="1134" w:type="dxa"/>
                  <w:tcBorders>
                    <w:bottom w:val="single" w:sz="4" w:space="0" w:color="auto"/>
                  </w:tcBorders>
                </w:tcPr>
                <w:p w:rsidR="009C5821" w:rsidRDefault="009C5821" w:rsidP="00E964F6">
                  <w:pPr>
                    <w:pStyle w:val="TableText"/>
                  </w:pPr>
                  <w:r>
                    <w:t>82</w:t>
                  </w:r>
                </w:p>
              </w:tc>
              <w:tc>
                <w:tcPr>
                  <w:tcW w:w="1134" w:type="dxa"/>
                  <w:tcBorders>
                    <w:bottom w:val="single" w:sz="4" w:space="0" w:color="auto"/>
                  </w:tcBorders>
                </w:tcPr>
                <w:p w:rsidR="009C5821" w:rsidRDefault="009C5821" w:rsidP="00E964F6">
                  <w:pPr>
                    <w:pStyle w:val="TableText"/>
                  </w:pPr>
                  <w:r>
                    <w:t>13</w:t>
                  </w:r>
                </w:p>
              </w:tc>
              <w:tc>
                <w:tcPr>
                  <w:tcW w:w="1134" w:type="dxa"/>
                  <w:tcBorders>
                    <w:bottom w:val="single" w:sz="4" w:space="0" w:color="auto"/>
                  </w:tcBorders>
                </w:tcPr>
                <w:p w:rsidR="009C5821" w:rsidRDefault="009C5821" w:rsidP="00E964F6">
                  <w:pPr>
                    <w:pStyle w:val="TableText"/>
                  </w:pPr>
                  <w:r>
                    <w:t>5</w:t>
                  </w:r>
                </w:p>
              </w:tc>
            </w:tr>
          </w:tbl>
          <w:p w:rsidR="009C5821" w:rsidRDefault="009C5821" w:rsidP="00E964F6">
            <w:pPr>
              <w:pStyle w:val="BodyText"/>
            </w:pPr>
          </w:p>
          <w:p w:rsidR="009C5821" w:rsidRDefault="009C5821" w:rsidP="00E964F6">
            <w:pPr>
              <w:pStyle w:val="BodyText"/>
            </w:pPr>
            <w:r>
              <w:t xml:space="preserve">An important policy question is how to steer the income that migrants, whether temporary or permanent, bring back to the country. If income from migration is invested in productive activities, then it could help create jobs in these rural areas and perhaps reduce the flow of migration. A study that used the results of a specific survey in the </w:t>
            </w:r>
            <w:proofErr w:type="spellStart"/>
            <w:r>
              <w:t>Korca</w:t>
            </w:r>
            <w:proofErr w:type="spellEnd"/>
            <w:r>
              <w:t xml:space="preserve"> region</w:t>
            </w:r>
            <w:r>
              <w:rPr>
                <w:vertAlign w:val="superscript"/>
              </w:rPr>
              <w:t>2</w:t>
            </w:r>
            <w:r>
              <w:t xml:space="preserve"> examined the effects of migration and remittance income on the productivity of agricultural households. The results showed that households without migrant members were less efficient in farming. A potential explanation is that the recipients of assistance lower their effort in the knowledge that remittance income guarantees a certain level of welfare. </w:t>
            </w:r>
          </w:p>
          <w:p w:rsidR="009C5821" w:rsidRDefault="009C5821" w:rsidP="00E964F6">
            <w:pPr>
              <w:pStyle w:val="BodyText"/>
            </w:pPr>
            <w:r>
              <w:t xml:space="preserve">Although remittances may well be used for investment outside agriculture, complementary evidence from the LSMS confirms that they are most commonly used to pay for basic necessities and durable goods. The government has been formulating a migration strategy with support from </w:t>
            </w:r>
            <w:r>
              <w:lastRenderedPageBreak/>
              <w:t>the International Organisation of Migration, which will also include actions to facilitate the flow of remittances into business activity. Building confidence and increasing the efficiency of the banking sector is considered a necessary step</w:t>
            </w:r>
            <w:r>
              <w:rPr>
                <w:vertAlign w:val="superscript"/>
              </w:rPr>
              <w:t>3</w:t>
            </w:r>
            <w:r>
              <w:t>.</w:t>
            </w:r>
          </w:p>
          <w:p w:rsidR="009C5821" w:rsidRDefault="009C5821" w:rsidP="00E964F6">
            <w:pPr>
              <w:pStyle w:val="BodyText"/>
            </w:pPr>
            <w:r>
              <w:t xml:space="preserve">Sources: </w:t>
            </w:r>
            <w:r>
              <w:rPr>
                <w:vertAlign w:val="superscript"/>
              </w:rPr>
              <w:t>1</w:t>
            </w:r>
            <w:r>
              <w:t xml:space="preserve"> G </w:t>
            </w:r>
            <w:proofErr w:type="spellStart"/>
            <w:r>
              <w:t>Carletto</w:t>
            </w:r>
            <w:proofErr w:type="spellEnd"/>
            <w:r>
              <w:t xml:space="preserve"> et al. (2004) Internal mobility and international migration in Albania, ESA Working Paper No. 04-13, Food and Agriculture Organisation; </w:t>
            </w:r>
            <w:r>
              <w:rPr>
                <w:vertAlign w:val="superscript"/>
              </w:rPr>
              <w:t>2</w:t>
            </w:r>
            <w:r>
              <w:t xml:space="preserve">  E </w:t>
            </w:r>
            <w:proofErr w:type="spellStart"/>
            <w:r>
              <w:t>Germenji</w:t>
            </w:r>
            <w:proofErr w:type="spellEnd"/>
            <w:r>
              <w:t xml:space="preserve"> and J </w:t>
            </w:r>
            <w:proofErr w:type="spellStart"/>
            <w:r>
              <w:t>Swinnen</w:t>
            </w:r>
            <w:proofErr w:type="spellEnd"/>
            <w:r>
              <w:t xml:space="preserve"> (2004) Impact of remittances on household-based farms in rural Albania, Paper presented at the conference on ‘New perspectives on Albanian migration and development’, </w:t>
            </w:r>
            <w:proofErr w:type="spellStart"/>
            <w:r>
              <w:t>Korca</w:t>
            </w:r>
            <w:proofErr w:type="spellEnd"/>
            <w:r>
              <w:t xml:space="preserve">, September 2004; </w:t>
            </w:r>
            <w:r>
              <w:rPr>
                <w:vertAlign w:val="superscript"/>
              </w:rPr>
              <w:t>3</w:t>
            </w:r>
            <w:r>
              <w:t xml:space="preserve"> E </w:t>
            </w:r>
            <w:proofErr w:type="spellStart"/>
            <w:r>
              <w:t>Uruçi</w:t>
            </w:r>
            <w:proofErr w:type="spellEnd"/>
            <w:r>
              <w:t xml:space="preserve"> and I </w:t>
            </w:r>
            <w:proofErr w:type="spellStart"/>
            <w:r>
              <w:t>Gedeshi</w:t>
            </w:r>
            <w:proofErr w:type="spellEnd"/>
            <w:r>
              <w:t xml:space="preserve"> (2003) Remittances management in Albania, Centro </w:t>
            </w:r>
            <w:proofErr w:type="spellStart"/>
            <w:r>
              <w:t>Studi</w:t>
            </w:r>
            <w:proofErr w:type="spellEnd"/>
            <w:r>
              <w:t xml:space="preserve"> </w:t>
            </w:r>
            <w:proofErr w:type="spellStart"/>
            <w:r>
              <w:t>di</w:t>
            </w:r>
            <w:proofErr w:type="spellEnd"/>
            <w:r>
              <w:t xml:space="preserve"> </w:t>
            </w:r>
            <w:proofErr w:type="spellStart"/>
            <w:r>
              <w:t>Politica</w:t>
            </w:r>
            <w:proofErr w:type="spellEnd"/>
            <w:r>
              <w:t xml:space="preserve"> </w:t>
            </w:r>
            <w:proofErr w:type="spellStart"/>
            <w:r>
              <w:t>Internazionale</w:t>
            </w:r>
            <w:proofErr w:type="spellEnd"/>
            <w:r>
              <w:t xml:space="preserve"> Working Paper 5/2003</w:t>
            </w:r>
          </w:p>
        </w:tc>
      </w:tr>
    </w:tbl>
    <w:p w:rsidR="00C43527" w:rsidRDefault="00C43527"/>
    <w:sectPr w:rsidR="00C43527" w:rsidSect="00C4352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C6" w:rsidRDefault="00C96FC6" w:rsidP="009C5821">
      <w:pPr>
        <w:spacing w:after="0"/>
      </w:pPr>
      <w:r>
        <w:separator/>
      </w:r>
    </w:p>
  </w:endnote>
  <w:endnote w:type="continuationSeparator" w:id="0">
    <w:p w:rsidR="00C96FC6" w:rsidRDefault="00C96FC6" w:rsidP="009C58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C6" w:rsidRDefault="00C96FC6" w:rsidP="009C5821">
      <w:pPr>
        <w:spacing w:after="0"/>
      </w:pPr>
      <w:r>
        <w:separator/>
      </w:r>
    </w:p>
  </w:footnote>
  <w:footnote w:type="continuationSeparator" w:id="0">
    <w:p w:rsidR="00C96FC6" w:rsidRDefault="00C96FC6" w:rsidP="009C58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21" w:rsidRPr="0049269C" w:rsidRDefault="009C5821" w:rsidP="009C5821">
    <w:pPr>
      <w:pStyle w:val="Header"/>
      <w:rPr>
        <w:lang w:val="it-IT"/>
      </w:rPr>
    </w:pPr>
    <w:r>
      <w:rPr>
        <w:lang w:val="it-IT"/>
      </w:rPr>
      <w:t>Albania : Socioeconomic Conitions – Education</w:t>
    </w:r>
    <w:r>
      <w:rPr>
        <w:lang w:val="it-IT"/>
      </w:rPr>
      <w:tab/>
    </w:r>
    <w:r>
      <w:rPr>
        <w:lang w:val="it-IT"/>
      </w:rPr>
      <w:tab/>
      <w:t>2002 - 2004</w:t>
    </w:r>
  </w:p>
  <w:p w:rsidR="009C5821" w:rsidRDefault="009C5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3DB0"/>
    <w:multiLevelType w:val="multilevel"/>
    <w:tmpl w:val="89B2F470"/>
    <w:lvl w:ilvl="0">
      <w:start w:val="1"/>
      <w:numFmt w:val="decimal"/>
      <w:pStyle w:val="Section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5821"/>
    <w:rsid w:val="0040503A"/>
    <w:rsid w:val="00437A91"/>
    <w:rsid w:val="009C5821"/>
    <w:rsid w:val="00AA4F34"/>
    <w:rsid w:val="00C43527"/>
    <w:rsid w:val="00C96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21"/>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9C5821"/>
    <w:pPr>
      <w:tabs>
        <w:tab w:val="left" w:pos="4962"/>
      </w:tabs>
      <w:jc w:val="both"/>
    </w:pPr>
    <w:rPr>
      <w:sz w:val="22"/>
    </w:rPr>
  </w:style>
  <w:style w:type="character" w:customStyle="1" w:styleId="BodyTextChar">
    <w:name w:val="Body Text Char"/>
    <w:basedOn w:val="DefaultParagraphFont"/>
    <w:link w:val="BodyText"/>
    <w:rsid w:val="009C5821"/>
    <w:rPr>
      <w:rFonts w:ascii="Trebuchet MS" w:eastAsia="Times New Roman" w:hAnsi="Trebuchet MS" w:cs="Times New Roman"/>
      <w:szCs w:val="20"/>
      <w:lang w:val="en-GB" w:eastAsia="en-GB" w:bidi="ar-SA"/>
    </w:rPr>
  </w:style>
  <w:style w:type="paragraph" w:customStyle="1" w:styleId="Table">
    <w:name w:val="Table"/>
    <w:basedOn w:val="Normal"/>
    <w:next w:val="BodyText"/>
    <w:rsid w:val="009C5821"/>
    <w:pPr>
      <w:keepNext/>
      <w:tabs>
        <w:tab w:val="num" w:pos="1008"/>
      </w:tabs>
      <w:spacing w:before="360"/>
      <w:ind w:left="1008" w:hanging="1008"/>
    </w:pPr>
    <w:rPr>
      <w:b/>
      <w:sz w:val="24"/>
    </w:rPr>
  </w:style>
  <w:style w:type="paragraph" w:customStyle="1" w:styleId="Figure">
    <w:name w:val="Figure"/>
    <w:basedOn w:val="Table"/>
    <w:next w:val="BodyText"/>
    <w:rsid w:val="009C5821"/>
    <w:pPr>
      <w:tabs>
        <w:tab w:val="clear" w:pos="1008"/>
        <w:tab w:val="num" w:pos="1152"/>
      </w:tabs>
      <w:ind w:left="1152" w:hanging="1152"/>
    </w:pPr>
    <w:rPr>
      <w:lang w:eastAsia="en-US"/>
    </w:rPr>
  </w:style>
  <w:style w:type="paragraph" w:customStyle="1" w:styleId="TableText">
    <w:name w:val="Table Text"/>
    <w:basedOn w:val="BodyText"/>
    <w:rsid w:val="009C5821"/>
    <w:pPr>
      <w:tabs>
        <w:tab w:val="clear" w:pos="4962"/>
      </w:tabs>
      <w:spacing w:before="40" w:after="40"/>
    </w:pPr>
    <w:rPr>
      <w:sz w:val="18"/>
      <w:lang w:eastAsia="en-US"/>
    </w:rPr>
  </w:style>
  <w:style w:type="paragraph" w:customStyle="1" w:styleId="TableFootnote">
    <w:name w:val="Table Footnote"/>
    <w:basedOn w:val="Normal"/>
    <w:rsid w:val="009C5821"/>
    <w:pPr>
      <w:spacing w:before="80"/>
      <w:contextualSpacing/>
    </w:pPr>
    <w:rPr>
      <w:sz w:val="18"/>
    </w:rPr>
  </w:style>
  <w:style w:type="paragraph" w:styleId="BalloonText">
    <w:name w:val="Balloon Text"/>
    <w:basedOn w:val="Normal"/>
    <w:link w:val="BalloonTextChar"/>
    <w:uiPriority w:val="99"/>
    <w:semiHidden/>
    <w:unhideWhenUsed/>
    <w:rsid w:val="009C5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21"/>
    <w:rPr>
      <w:rFonts w:ascii="Tahoma" w:eastAsia="Times New Roman" w:hAnsi="Tahoma" w:cs="Tahoma"/>
      <w:sz w:val="16"/>
      <w:szCs w:val="16"/>
      <w:lang w:val="en-GB" w:eastAsia="en-GB" w:bidi="ar-SA"/>
    </w:rPr>
  </w:style>
  <w:style w:type="paragraph" w:customStyle="1" w:styleId="SectionNUM">
    <w:name w:val="Section NUM"/>
    <w:next w:val="Heading1"/>
    <w:rsid w:val="009C5821"/>
    <w:pPr>
      <w:keepNext/>
      <w:pageBreakBefore/>
      <w:numPr>
        <w:numId w:val="1"/>
      </w:numPr>
      <w:spacing w:after="240" w:line="240" w:lineRule="auto"/>
    </w:pPr>
    <w:rPr>
      <w:rFonts w:ascii="Trebuchet MS" w:eastAsia="Times New Roman" w:hAnsi="Trebuchet MS" w:cs="Times New Roman"/>
      <w:b/>
      <w:kern w:val="32"/>
      <w:sz w:val="36"/>
      <w:szCs w:val="20"/>
      <w:lang w:val="en-GB" w:bidi="ar-SA"/>
    </w:rPr>
  </w:style>
  <w:style w:type="paragraph" w:styleId="Header">
    <w:name w:val="header"/>
    <w:basedOn w:val="Normal"/>
    <w:link w:val="HeaderChar"/>
    <w:uiPriority w:val="99"/>
    <w:semiHidden/>
    <w:unhideWhenUsed/>
    <w:rsid w:val="009C5821"/>
    <w:pPr>
      <w:tabs>
        <w:tab w:val="center" w:pos="4513"/>
        <w:tab w:val="right" w:pos="9026"/>
      </w:tabs>
      <w:spacing w:after="0"/>
    </w:pPr>
  </w:style>
  <w:style w:type="character" w:customStyle="1" w:styleId="HeaderChar">
    <w:name w:val="Header Char"/>
    <w:basedOn w:val="DefaultParagraphFont"/>
    <w:link w:val="Header"/>
    <w:uiPriority w:val="99"/>
    <w:semiHidden/>
    <w:rsid w:val="009C5821"/>
    <w:rPr>
      <w:rFonts w:ascii="Trebuchet MS" w:eastAsia="Times New Roman" w:hAnsi="Trebuchet MS" w:cs="Times New Roman"/>
      <w:sz w:val="20"/>
      <w:szCs w:val="20"/>
      <w:lang w:val="en-GB" w:eastAsia="en-GB" w:bidi="ar-SA"/>
    </w:rPr>
  </w:style>
  <w:style w:type="paragraph" w:styleId="Footer">
    <w:name w:val="footer"/>
    <w:basedOn w:val="Normal"/>
    <w:link w:val="FooterChar"/>
    <w:uiPriority w:val="99"/>
    <w:semiHidden/>
    <w:unhideWhenUsed/>
    <w:rsid w:val="009C5821"/>
    <w:pPr>
      <w:tabs>
        <w:tab w:val="center" w:pos="4513"/>
        <w:tab w:val="right" w:pos="9026"/>
      </w:tabs>
      <w:spacing w:after="0"/>
    </w:pPr>
  </w:style>
  <w:style w:type="character" w:customStyle="1" w:styleId="FooterChar">
    <w:name w:val="Footer Char"/>
    <w:basedOn w:val="DefaultParagraphFont"/>
    <w:link w:val="Footer"/>
    <w:uiPriority w:val="99"/>
    <w:semiHidden/>
    <w:rsid w:val="009C5821"/>
    <w:rPr>
      <w:rFonts w:ascii="Trebuchet MS" w:eastAsia="Times New Roman" w:hAnsi="Trebuchet MS" w:cs="Times New Roman"/>
      <w:sz w:val="20"/>
      <w:szCs w:val="20"/>
      <w:lang w:val="en-GB" w:eastAsia="en-GB"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9934</Characters>
  <Application>Microsoft Office Word</Application>
  <DocSecurity>0</DocSecurity>
  <Lines>82</Lines>
  <Paragraphs>23</Paragraphs>
  <ScaleCrop>false</ScaleCrop>
  <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2014-03-25T21:45:00Z</dcterms:created>
  <dcterms:modified xsi:type="dcterms:W3CDTF">2014-03-25T21:46:00Z</dcterms:modified>
</cp:coreProperties>
</file>